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bookmarkStart w:id="910" w:name="_GoBack"/>
    </w:p>
    <w:p w14:paraId="05840779">
      <w:pPr>
        <w:spacing w:line="360" w:lineRule="auto"/>
        <w:ind w:firstLine="300" w:firstLineChars="50"/>
        <w:rPr>
          <w:color w:val="auto"/>
          <w:sz w:val="60"/>
          <w:szCs w:val="60"/>
          <w:highlight w:val="none"/>
        </w:rPr>
      </w:pPr>
    </w:p>
    <w:p w14:paraId="19799DE8">
      <w:pPr>
        <w:jc w:val="center"/>
        <w:rPr>
          <w:b/>
          <w:bCs/>
          <w:color w:val="auto"/>
          <w:sz w:val="60"/>
          <w:szCs w:val="60"/>
          <w:highlight w:val="none"/>
        </w:rPr>
      </w:pPr>
      <w:r>
        <w:rPr>
          <w:rFonts w:hint="eastAsia"/>
          <w:b/>
          <w:bCs/>
          <w:color w:val="auto"/>
          <w:sz w:val="56"/>
          <w:szCs w:val="56"/>
          <w:highlight w:val="none"/>
          <w:lang w:eastAsia="zh-CN"/>
        </w:rPr>
        <w:t>常州市中医医院医疗废物收集处置服务项目</w:t>
      </w: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常州市中医医院医疗废物收集处置服务项目</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JSZC-320400-SYZB-G2026-0046</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常州市中医医院</w:t>
      </w:r>
    </w:p>
    <w:p w14:paraId="3B31B31E">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24</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15932"/>
      <w:bookmarkStart w:id="2" w:name="_Toc99301419"/>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28359002"/>
      <w:bookmarkStart w:id="4" w:name="_Toc35393621"/>
      <w:bookmarkStart w:id="5" w:name="_Toc35393790"/>
      <w:bookmarkStart w:id="6" w:name="_Toc28359079"/>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JSZC-320400-SYZB-G2026-0046</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常州市中医医院医疗废物收集处置服务项目</w:t>
      </w:r>
      <w:r>
        <w:rPr>
          <w:rFonts w:hint="eastAsia" w:ascii="宋体" w:hAnsi="宋体" w:cs="宋体"/>
          <w:color w:val="auto"/>
          <w:sz w:val="24"/>
          <w:highlight w:val="none"/>
          <w:u w:val="single"/>
        </w:rPr>
        <w:t xml:space="preserve"> </w:t>
      </w:r>
    </w:p>
    <w:p w14:paraId="32FAB910">
      <w:pPr>
        <w:keepNext w:val="0"/>
        <w:keepLines w:val="0"/>
        <w:pageBreakBefore w:val="0"/>
        <w:widowControl w:val="0"/>
        <w:spacing w:line="360" w:lineRule="auto"/>
        <w:ind w:firstLine="480"/>
        <w:outlineLvl w:val="9"/>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450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val="en-US" w:eastAsia="zh-CN"/>
        </w:rPr>
        <w:t>/二年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eastAsia="zh-CN"/>
        </w:rPr>
        <w:t>）感染性、损伤性、化学性、药物性医废：</w:t>
      </w:r>
      <w:r>
        <w:rPr>
          <w:rFonts w:hint="eastAsia" w:ascii="宋体" w:hAnsi="宋体" w:cs="宋体"/>
          <w:color w:val="auto"/>
          <w:sz w:val="24"/>
          <w:szCs w:val="24"/>
          <w:highlight w:val="none"/>
          <w:u w:val="single"/>
          <w:lang w:val="en-US" w:eastAsia="zh-CN"/>
        </w:rPr>
        <w:t>4800元/吨；（2）</w:t>
      </w:r>
      <w:r>
        <w:rPr>
          <w:rFonts w:hint="eastAsia" w:ascii="宋体" w:hAnsi="宋体" w:cs="宋体"/>
          <w:color w:val="auto"/>
          <w:sz w:val="24"/>
          <w:szCs w:val="24"/>
          <w:highlight w:val="none"/>
          <w:u w:val="single"/>
          <w:lang w:eastAsia="zh-CN"/>
        </w:rPr>
        <w:t>病理性医废：①处置费用：</w:t>
      </w:r>
      <w:r>
        <w:rPr>
          <w:rFonts w:hint="eastAsia" w:ascii="宋体" w:hAnsi="宋体" w:cs="宋体"/>
          <w:color w:val="auto"/>
          <w:sz w:val="24"/>
          <w:szCs w:val="24"/>
          <w:highlight w:val="none"/>
          <w:u w:val="single"/>
          <w:lang w:val="en-US" w:eastAsia="zh-CN"/>
        </w:rPr>
        <w:t>60</w:t>
      </w:r>
      <w:r>
        <w:rPr>
          <w:rFonts w:hint="eastAsia" w:ascii="宋体" w:hAnsi="宋体" w:cs="宋体"/>
          <w:color w:val="auto"/>
          <w:sz w:val="24"/>
          <w:szCs w:val="24"/>
          <w:highlight w:val="none"/>
          <w:u w:val="single"/>
          <w:lang w:eastAsia="zh-CN"/>
        </w:rPr>
        <w:t>元/</w:t>
      </w:r>
      <w:r>
        <w:rPr>
          <w:rFonts w:hint="eastAsia" w:ascii="宋体" w:hAnsi="宋体" w:cs="宋体"/>
          <w:color w:val="auto"/>
          <w:sz w:val="24"/>
          <w:szCs w:val="24"/>
          <w:highlight w:val="none"/>
          <w:u w:val="single"/>
          <w:lang w:val="en-US" w:eastAsia="zh-CN"/>
        </w:rPr>
        <w:t xml:space="preserve">公斤、②运输费用：15元/公斤 </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9"/>
        <w:gridCol w:w="2054"/>
        <w:gridCol w:w="824"/>
        <w:gridCol w:w="4648"/>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cs="宋体"/>
                <w:bCs/>
                <w:color w:val="auto"/>
                <w:sz w:val="24"/>
                <w:szCs w:val="24"/>
                <w:highlight w:val="none"/>
                <w:lang w:val="en-US" w:eastAsia="zh-CN"/>
              </w:rPr>
              <w:t>/二年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常州市中医医院医疗废物收集处置服务</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450</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A620642">
            <w:pPr>
              <w:keepNext w:val="0"/>
              <w:keepLines w:val="0"/>
              <w:pageBreakBefore w:val="0"/>
              <w:widowControl w:val="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本项目是常州市中医医院医疗废物收集处置服务项目，</w:t>
            </w:r>
            <w:r>
              <w:rPr>
                <w:rFonts w:hint="eastAsia" w:ascii="宋体" w:hAnsi="宋体" w:cs="宋体"/>
                <w:color w:val="auto"/>
                <w:sz w:val="24"/>
                <w:szCs w:val="24"/>
                <w:highlight w:val="none"/>
                <w:lang w:val="en-US" w:eastAsia="zh-CN"/>
              </w:rPr>
              <w:t xml:space="preserve">根据《医疗废物管理条例》《医疗卫生机构医疗废物管理办法》等规定，常州市中医医院产生的各类医疗废弃物须交由具备专业处置资质单位进行无害化清运处置，确保符合国家环保与卫生标准。 </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自合同签订之日起二年，</w:t>
      </w:r>
      <w:r>
        <w:rPr>
          <w:rFonts w:hint="eastAsia" w:ascii="宋体" w:hAnsi="宋体" w:cs="宋体"/>
          <w:color w:val="auto"/>
          <w:sz w:val="24"/>
          <w:highlight w:val="none"/>
          <w:u w:val="single"/>
          <w:lang w:val="en-US" w:eastAsia="zh-CN"/>
        </w:rPr>
        <w:t>合同两年一签</w:t>
      </w:r>
      <w:r>
        <w:rPr>
          <w:rFonts w:hint="eastAsia" w:ascii="宋体" w:hAnsi="宋体" w:cs="宋体"/>
          <w:color w:val="auto"/>
          <w:sz w:val="24"/>
          <w:highlight w:val="none"/>
          <w:u w:val="single"/>
          <w:lang w:eastAsia="zh-CN"/>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rPr>
          <w:rFonts w:ascii="宋体" w:hAnsi="宋体"/>
          <w:b/>
          <w:bCs/>
          <w:color w:val="auto"/>
          <w:sz w:val="24"/>
          <w:highlight w:val="none"/>
        </w:rPr>
      </w:pPr>
      <w:bookmarkStart w:id="8" w:name="_Toc35393791"/>
      <w:bookmarkStart w:id="9" w:name="_Toc28359080"/>
      <w:bookmarkStart w:id="10" w:name="_Toc35393622"/>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rPr>
        <w:t>3.3其他特定资格要求：</w:t>
      </w:r>
    </w:p>
    <w:bookmarkEnd w:id="12"/>
    <w:bookmarkEnd w:id="13"/>
    <w:p w14:paraId="1F1655BB">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u w:val="single"/>
          <w:lang w:val="en-US" w:eastAsia="zh-CN"/>
        </w:rPr>
      </w:pPr>
      <w:bookmarkStart w:id="14" w:name="_Toc35393792"/>
      <w:bookmarkStart w:id="15" w:name="_Toc35393623"/>
      <w:r>
        <w:rPr>
          <w:rFonts w:hint="eastAsia" w:ascii="宋体" w:hAnsi="宋体" w:eastAsia="宋体" w:cs="宋体"/>
          <w:color w:val="auto"/>
          <w:sz w:val="24"/>
          <w:szCs w:val="24"/>
          <w:highlight w:val="none"/>
          <w:u w:val="single"/>
          <w:lang w:val="en-US" w:eastAsia="zh-CN"/>
        </w:rPr>
        <w:t xml:space="preserve"> 3.3.1投标人具备有效的《危险废物经营许可证》（经营范围包含：处置医疗废物HW</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val="en-US" w:eastAsia="zh-CN"/>
        </w:rPr>
        <w:t xml:space="preserve">1）； </w:t>
      </w:r>
    </w:p>
    <w:p w14:paraId="468D99EE">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u w:val="single"/>
          <w:lang w:val="en-US" w:eastAsia="zh-CN"/>
        </w:rPr>
        <w:t xml:space="preserve"> 3.3.2投标人具备有效的《道路危险货物运输许可证》（包含医疗废物、危险废物）。 </w:t>
      </w:r>
    </w:p>
    <w:p w14:paraId="0DC5F48E">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82"/>
      <w:bookmarkStart w:id="17" w:name="_Toc28359005"/>
      <w:bookmarkStart w:id="18" w:name="_Toc35393624"/>
      <w:bookmarkStart w:id="19" w:name="_Toc35393793"/>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w:t>
      </w:r>
      <w:r>
        <w:rPr>
          <w:rFonts w:hint="eastAsia" w:ascii="宋体" w:hAnsi="宋体" w:cs="宋体"/>
          <w:color w:val="auto"/>
          <w:sz w:val="24"/>
          <w:highlight w:val="none"/>
          <w:u w:val="single"/>
          <w:lang w:val="en-US" w:eastAsia="zh-CN" w:bidi="ar"/>
        </w:rPr>
        <w:t>录</w:t>
      </w:r>
      <w:r>
        <w:rPr>
          <w:rFonts w:hint="eastAsia" w:ascii="宋体" w:hAnsi="宋体" w:cs="宋体"/>
          <w:color w:val="auto"/>
          <w:sz w:val="24"/>
          <w:highlight w:val="none"/>
          <w:u w:val="single"/>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 xml:space="preserve"> 8 </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 xml:space="preserve"> 14 </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 xml:space="preserve"> 00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35393794"/>
      <w:bookmarkStart w:id="21" w:name="_Toc28359084"/>
      <w:bookmarkStart w:id="22" w:name="_Toc35393625"/>
      <w:bookmarkStart w:id="23" w:name="_Toc28359007"/>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795"/>
      <w:bookmarkStart w:id="25" w:name="_Toc35393626"/>
      <w:r>
        <w:rPr>
          <w:rFonts w:hint="eastAsia" w:ascii="宋体" w:hAnsi="宋体"/>
          <w:b/>
          <w:bCs/>
          <w:color w:val="auto"/>
          <w:sz w:val="24"/>
          <w:highlight w:val="none"/>
        </w:rPr>
        <w:t>六、其他补充事宜</w:t>
      </w:r>
      <w:bookmarkEnd w:id="24"/>
      <w:bookmarkEnd w:id="25"/>
    </w:p>
    <w:p w14:paraId="4BFADE59">
      <w:pPr>
        <w:spacing w:line="360" w:lineRule="auto"/>
        <w:ind w:firstLine="480" w:firstLineChars="200"/>
        <w:rPr>
          <w:rFonts w:hint="eastAsia" w:ascii="宋体" w:hAnsi="宋体" w:cs="宋体"/>
          <w:color w:val="auto"/>
          <w:sz w:val="24"/>
          <w:highlight w:val="none"/>
        </w:rPr>
      </w:pPr>
      <w:bookmarkStart w:id="26" w:name="_Toc28359085"/>
      <w:bookmarkStart w:id="27" w:name="_Toc28359008"/>
      <w:bookmarkStart w:id="28" w:name="_Toc35393627"/>
      <w:bookmarkStart w:id="29" w:name="_Toc35393796"/>
      <w:r>
        <w:rPr>
          <w:rFonts w:hint="eastAsia" w:ascii="宋体" w:hAnsi="宋体" w:cs="宋体"/>
          <w:color w:val="auto"/>
          <w:sz w:val="24"/>
          <w:highlight w:val="none"/>
        </w:rPr>
        <w:t>1.本项目需要落实的政府采购政策：</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对小型和微型企业的价格给予20%的扣除，用扣除后的价格参与评审。监狱企业、残疾人福利性单位视同小微企业，给予价格扣除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.本项目采用远程“不见面”交易方式，无需到现场提交，请</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4193AEC4">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.如潜在</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265228423"/>
      <w:bookmarkStart w:id="31" w:name="_Toc99301420"/>
      <w:bookmarkStart w:id="32" w:name="_Toc150774783"/>
      <w:bookmarkStart w:id="33" w:name="_Toc195842950"/>
      <w:bookmarkStart w:id="34" w:name="_Toc264969275"/>
      <w:bookmarkStart w:id="35" w:name="_Toc127161488"/>
      <w:bookmarkStart w:id="36" w:name="_Toc226965856"/>
      <w:bookmarkStart w:id="37" w:name="_Toc353825548"/>
      <w:bookmarkStart w:id="38" w:name="_Toc512937850"/>
      <w:bookmarkStart w:id="39" w:name="_Toc305158928"/>
      <w:bookmarkStart w:id="40" w:name="_Toc353873938"/>
      <w:bookmarkStart w:id="41" w:name="_Toc127151777"/>
      <w:bookmarkStart w:id="42" w:name="_Toc305158854"/>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常州市中医医院</w:t>
      </w:r>
      <w:r>
        <w:rPr>
          <w:rFonts w:hint="eastAsia" w:ascii="宋体" w:hAnsi="宋体" w:cs="宋体"/>
          <w:color w:val="auto"/>
          <w:sz w:val="24"/>
          <w:highlight w:val="none"/>
          <w:u w:val="single"/>
          <w:lang w:bidi="ar"/>
        </w:rPr>
        <w:t xml:space="preserve"> </w:t>
      </w:r>
    </w:p>
    <w:p w14:paraId="4B199E0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常州市和平北路25号8号</w:t>
      </w:r>
      <w:r>
        <w:rPr>
          <w:rFonts w:hint="eastAsia" w:ascii="宋体" w:hAnsi="宋体" w:eastAsia="宋体" w:cs="宋体"/>
          <w:color w:val="auto"/>
          <w:sz w:val="24"/>
          <w:highlight w:val="none"/>
          <w:u w:val="single"/>
          <w:lang w:val="en-US" w:eastAsia="zh-CN" w:bidi="ar"/>
        </w:rPr>
        <w:t xml:space="preserve"> </w:t>
      </w:r>
    </w:p>
    <w:p w14:paraId="33CEED1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许先生、0519-89896987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嵇玲</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0</w:t>
      </w:r>
      <w:r>
        <w:rPr>
          <w:rFonts w:hint="eastAsia" w:ascii="宋体" w:hAnsi="宋体" w:cs="宋体"/>
          <w:color w:val="auto"/>
          <w:sz w:val="24"/>
          <w:highlight w:val="none"/>
          <w:u w:val="single"/>
          <w:lang w:val="zh-TW" w:bidi="ar"/>
        </w:rPr>
        <w:t>）</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520356144"/>
      <w:bookmarkStart w:id="45" w:name="_Toc164229360"/>
      <w:bookmarkStart w:id="46" w:name="_Toc226337215"/>
      <w:bookmarkStart w:id="47" w:name="_Toc164608633"/>
      <w:bookmarkStart w:id="48" w:name="_Toc127151519"/>
      <w:bookmarkStart w:id="49" w:name="_Toc226965792"/>
      <w:bookmarkStart w:id="50" w:name="_Toc164229214"/>
      <w:bookmarkStart w:id="51" w:name="_Toc150480757"/>
      <w:bookmarkStart w:id="52" w:name="_Toc150774724"/>
      <w:bookmarkStart w:id="53" w:name="_Toc226965709"/>
      <w:bookmarkStart w:id="54" w:name="_Toc226309763"/>
      <w:bookmarkStart w:id="55" w:name="_Toc164608788"/>
      <w:bookmarkStart w:id="56" w:name="_Toc151193617"/>
      <w:bookmarkStart w:id="57" w:name="_Toc151193907"/>
      <w:bookmarkStart w:id="58" w:name="_Toc151193689"/>
      <w:bookmarkStart w:id="59" w:name="_Toc164351613"/>
      <w:bookmarkStart w:id="60" w:name="_Toc195842884"/>
      <w:bookmarkStart w:id="61" w:name="_Toc127151720"/>
      <w:bookmarkStart w:id="62" w:name="_Toc151193761"/>
      <w:bookmarkStart w:id="63" w:name="_Toc150774619"/>
      <w:bookmarkStart w:id="64" w:name="_Toc151193833"/>
      <w:bookmarkStart w:id="65" w:name="_Toc151190146"/>
      <w:bookmarkStart w:id="66" w:name="_Toc149720812"/>
      <w:bookmarkStart w:id="67" w:name="_Toc150509270"/>
      <w:bookmarkStart w:id="68" w:name="_Toc127161433"/>
      <w:bookmarkStart w:id="69" w:name="_Toc142311021"/>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hint="default" w:ascii="宋体" w:hAnsi="宋体" w:cs="宋体"/>
                <w:color w:val="auto"/>
                <w:sz w:val="24"/>
                <w:highlight w:val="none"/>
                <w:lang w:val="en-US"/>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 xml:space="preserve"> 其他未列明行业 </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7</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21</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嵇玲</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中标人须按其</w:t>
            </w:r>
            <w:r>
              <w:rPr>
                <w:rFonts w:hint="eastAsia" w:ascii="宋体" w:hAnsi="宋体" w:cs="宋体"/>
                <w:color w:val="auto"/>
                <w:sz w:val="24"/>
                <w:szCs w:val="24"/>
                <w:highlight w:val="none"/>
                <w:u w:val="single"/>
                <w:lang w:val="en-US" w:eastAsia="zh-CN"/>
              </w:rPr>
              <w:t>成交金额（二年合计）</w:t>
            </w:r>
            <w:r>
              <w:rPr>
                <w:rFonts w:hint="eastAsia" w:ascii="宋体" w:hAnsi="宋体" w:eastAsia="宋体" w:cs="宋体"/>
                <w:color w:val="auto"/>
                <w:sz w:val="24"/>
                <w:szCs w:val="24"/>
                <w:highlight w:val="none"/>
                <w:u w:val="single"/>
              </w:rPr>
              <w:t>的0.8%计算并支付</w:t>
            </w:r>
            <w:r>
              <w:rPr>
                <w:rFonts w:hint="eastAsia" w:ascii="宋体" w:hAnsi="宋体" w:eastAsia="宋体" w:cs="宋体"/>
                <w:color w:val="auto"/>
                <w:sz w:val="24"/>
                <w:szCs w:val="24"/>
                <w:highlight w:val="none"/>
                <w:u w:val="single"/>
                <w:lang w:val="en-US" w:eastAsia="zh-CN"/>
              </w:rPr>
              <w:t>代理</w:t>
            </w:r>
            <w:r>
              <w:rPr>
                <w:rFonts w:hint="eastAsia" w:ascii="宋体" w:hAnsi="宋体" w:eastAsia="宋体" w:cs="宋体"/>
                <w:color w:val="auto"/>
                <w:sz w:val="24"/>
                <w:szCs w:val="24"/>
                <w:highlight w:val="none"/>
                <w:u w:val="single"/>
              </w:rPr>
              <w:t>服务费，不足人民币3000元的，按人民币3000元收取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4573D42D">
            <w:pPr>
              <w:jc w:val="left"/>
              <w:outlineLvl w:val="9"/>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p w14:paraId="29603586">
            <w:pPr>
              <w:jc w:val="left"/>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代理服务费支付说明及原因：</w:t>
            </w:r>
          </w:p>
          <w:p w14:paraId="5671043C">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1.支付依据：根据《政府采购代理机构管理暂行办法》第十五条规定，代理费用可以由中标、成交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支付。本项目经采购人与采购代理机构在《委托代理协议》中约定，代理服务费由中标/成交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w:t>
            </w:r>
          </w:p>
          <w:p w14:paraId="5B51C017">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2.定价原则：本项目代理服务费遵循市场调节原则，由采购人与代理机构根据项目特点、服务成本及市场行情协商确定收费标准。</w:t>
            </w:r>
          </w:p>
          <w:p w14:paraId="59492A0F">
            <w:pPr>
              <w:jc w:val="left"/>
              <w:rPr>
                <w:rFonts w:ascii="宋体" w:hAnsi="宋体" w:cs="宋体"/>
                <w:color w:val="auto"/>
                <w:sz w:val="24"/>
                <w:highlight w:val="none"/>
              </w:rPr>
            </w:pPr>
            <w:r>
              <w:rPr>
                <w:rFonts w:hint="eastAsia" w:ascii="宋体" w:hAnsi="宋体" w:eastAsia="宋体" w:cs="宋体"/>
                <w:color w:val="auto"/>
                <w:sz w:val="24"/>
                <w:szCs w:val="24"/>
                <w:highlight w:val="none"/>
                <w:u w:val="none"/>
              </w:rPr>
              <w:t>3.报价要求：</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在编制响应报价时，应当将代理服务费包含在总报价中。若</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未将此项费用计入报价，视为其已承诺自行承担或放弃相关权利，但仍须按采购文件规定的标准足额缴纳代理服务费后方可领取成交通知书。</w:t>
            </w:r>
          </w:p>
        </w:tc>
      </w:tr>
      <w:tr w14:paraId="6E1F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9DC870D">
            <w:pPr>
              <w:pStyle w:val="24"/>
              <w:adjustRightInd w:val="0"/>
              <w:snapToGrid w:val="0"/>
              <w:jc w:val="center"/>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vAlign w:val="center"/>
          </w:tcPr>
          <w:p w14:paraId="029C5CBB">
            <w:pPr>
              <w:pStyle w:val="24"/>
              <w:adjustRightInd w:val="0"/>
              <w:snapToGrid w:val="0"/>
              <w:jc w:val="center"/>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电子系统意外情况处理条款</w:t>
            </w:r>
          </w:p>
        </w:tc>
        <w:tc>
          <w:tcPr>
            <w:tcW w:w="7540" w:type="dxa"/>
            <w:tcBorders>
              <w:top w:val="single" w:color="auto" w:sz="4" w:space="0"/>
              <w:left w:val="single" w:color="auto" w:sz="4" w:space="0"/>
              <w:bottom w:val="single" w:color="auto" w:sz="4" w:space="0"/>
              <w:right w:val="single" w:color="auto" w:sz="4" w:space="0"/>
            </w:tcBorders>
            <w:vAlign w:val="center"/>
          </w:tcPr>
          <w:p w14:paraId="2AB2C64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为确保本项目电子化采购活动顺利进行，防范化解采购风险，特制定相关情形处置举措。所有潜在投标人及参与各方均应知悉并遵守以下规定：</w:t>
            </w:r>
          </w:p>
          <w:p w14:paraId="063694D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1ED51C9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2.开标前环节故障处置：在</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报名、投标文件上传、投标文件解密及唱标环节等开标活动开始前的任何环节出现系统无法访问的情形，采购代理机构将按照以下原则处置：</w:t>
            </w:r>
          </w:p>
          <w:p w14:paraId="75030A3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（一）若故障可在短时间内排除，采购代理机构将等待系统修复后，继续开展采购活动。</w:t>
            </w:r>
          </w:p>
          <w:p w14:paraId="5D45102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（二）若故障无法在预定开标时间前排除，或故障情况严重影响公平竞争，采购代理机构将通过发布更正公告推迟开标。</w:t>
            </w:r>
          </w:p>
          <w:p w14:paraId="7882806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（三）若因故障导致有效投标人不足法定家数或出现其他法定废标情形，采购代理机构将发布废标（终止）公告，重新开展采购活动。</w:t>
            </w:r>
          </w:p>
          <w:p w14:paraId="2E966B5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特别说明：本项目投标文件递交方式以招标文件载明为准。在电子系统发生故障时，采购代理机构仅依据上述程序处理，不接受任何现场提交的纸质、U盘等非招标文件规定的投标文件。</w:t>
            </w:r>
          </w:p>
          <w:p w14:paraId="528293C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3.评审过程中故障处置：在评审委员会组建后至评审报告出具前的评审过程中出现系统无法访问的情形，采购代理机构将按照以下原则处置：</w:t>
            </w:r>
          </w:p>
          <w:p w14:paraId="6B8422BD">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（一）立即暂停评审：采购代理机构将立即宣布暂停评审活动，并采取必要措施封存所有投标文件及评审记录。</w:t>
            </w:r>
          </w:p>
          <w:p w14:paraId="0955FB6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（二）处置方案：视故障排除情况，采购代理机构将选择：</w:t>
            </w:r>
          </w:p>
          <w:p w14:paraId="06DDE7A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1.若故障可在短时间内排除，采购代理机构将等待系统修复后，由原评审委员会继续完成评审；</w:t>
            </w:r>
          </w:p>
          <w:p w14:paraId="086EF134">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2.若故障无法在当日排除，或故障导致评审无法公正进行，将发布废标（终止）公告，重新开展采购活动；</w:t>
            </w:r>
          </w:p>
          <w:p w14:paraId="13A6D88A">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3.若需在第二日继续评审，采购代理机构将重新从政府采购评审专家库中抽取专家，组建新的评审委员会，在系统修复后继续评审活动。</w:t>
            </w:r>
          </w:p>
          <w:p w14:paraId="1C61D8D3">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应密切关注上述网站公告，公告内容对各方具有约束力。</w:t>
            </w:r>
          </w:p>
          <w:p w14:paraId="1F645DA7">
            <w:pPr>
              <w:jc w:val="left"/>
              <w:rPr>
                <w:rFonts w:hint="eastAsia" w:ascii="宋体" w:hAnsi="宋体" w:cs="宋体"/>
                <w:color w:val="auto"/>
                <w:sz w:val="24"/>
                <w:highlight w:val="none"/>
                <w:u w:val="single"/>
              </w:rPr>
            </w:pPr>
            <w:r>
              <w:rPr>
                <w:rFonts w:hint="eastAsia" w:ascii="宋体" w:hAnsi="宋体" w:cs="宋体"/>
                <w:color w:val="auto"/>
                <w:sz w:val="24"/>
                <w:highlight w:val="none"/>
                <w:u w:val="none"/>
              </w:rPr>
              <w:t>（四）</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责任：</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有责任确保自身网络环境、设备及数字证书（CA）的正常，并在招标文件规定的期限内完成文件上传、解密等操作。因</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自身原因导致的操作失败，不适用本意外情况处理条款。</w:t>
            </w:r>
          </w:p>
        </w:tc>
      </w:tr>
    </w:tbl>
    <w:p w14:paraId="131671AA">
      <w:pPr>
        <w:widowControl/>
        <w:spacing w:line="360" w:lineRule="auto"/>
        <w:ind w:firstLine="480" w:firstLineChars="200"/>
        <w:jc w:val="left"/>
        <w:rPr>
          <w:rFonts w:hint="eastAsia" w:ascii="宋体" w:hAnsi="宋体" w:cs="宋体"/>
          <w:color w:val="auto"/>
          <w:sz w:val="24"/>
          <w:highlight w:val="none"/>
        </w:rPr>
      </w:pPr>
    </w:p>
    <w:p w14:paraId="0756CC98">
      <w:pPr>
        <w:tabs>
          <w:tab w:val="left" w:pos="5580"/>
        </w:tabs>
        <w:adjustRightInd w:val="0"/>
        <w:spacing w:line="360" w:lineRule="auto"/>
        <w:jc w:val="distribute"/>
        <w:rPr>
          <w:color w:val="auto"/>
          <w:sz w:val="24"/>
          <w:highlight w:val="none"/>
        </w:rPr>
      </w:pPr>
    </w:p>
    <w:p w14:paraId="7FE9FB09">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142311019"/>
      <w:bookmarkStart w:id="71" w:name="_Toc150774722"/>
      <w:bookmarkStart w:id="72" w:name="_Toc226965790"/>
      <w:bookmarkStart w:id="73" w:name="_Toc264969207"/>
      <w:bookmarkStart w:id="74" w:name="_Toc305158859"/>
      <w:bookmarkStart w:id="75" w:name="_Toc150480755"/>
      <w:bookmarkStart w:id="76" w:name="_Toc353873662"/>
      <w:bookmarkStart w:id="77" w:name="_Toc265228355"/>
      <w:bookmarkStart w:id="78" w:name="_Toc353873932"/>
      <w:bookmarkStart w:id="79" w:name="_Toc127151517"/>
      <w:bookmarkStart w:id="80" w:name="_Toc195842882"/>
      <w:bookmarkStart w:id="81" w:name="_Toc226337213"/>
      <w:bookmarkStart w:id="82" w:name="_Toc305158785"/>
      <w:bookmarkStart w:id="83" w:name="_Toc353825542"/>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151193688"/>
      <w:bookmarkStart w:id="85" w:name="_Toc150509269"/>
      <w:bookmarkStart w:id="86" w:name="_Toc127151518"/>
      <w:bookmarkStart w:id="87" w:name="_Toc150774723"/>
      <w:bookmarkStart w:id="88" w:name="_Toc305158860"/>
      <w:bookmarkStart w:id="89" w:name="_Toc264969208"/>
      <w:bookmarkStart w:id="90" w:name="_Toc265228356"/>
      <w:bookmarkStart w:id="91" w:name="_Toc151193616"/>
      <w:bookmarkStart w:id="92" w:name="_Toc226309762"/>
      <w:bookmarkStart w:id="93" w:name="_Toc520356143"/>
      <w:bookmarkStart w:id="94" w:name="_Toc150774618"/>
      <w:bookmarkStart w:id="95" w:name="_Toc226965708"/>
      <w:bookmarkStart w:id="96" w:name="_Toc226965791"/>
      <w:bookmarkStart w:id="97" w:name="_Toc305158786"/>
      <w:bookmarkStart w:id="98" w:name="_Toc195842883"/>
      <w:bookmarkStart w:id="99" w:name="_Toc150480756"/>
      <w:bookmarkStart w:id="100" w:name="_Toc151193906"/>
      <w:bookmarkStart w:id="101" w:name="_Toc151193832"/>
      <w:bookmarkStart w:id="102" w:name="_Toc151193760"/>
      <w:bookmarkStart w:id="103" w:name="_Toc151190145"/>
      <w:bookmarkStart w:id="104" w:name="_Toc142311020"/>
      <w:bookmarkStart w:id="105" w:name="_Toc226337214"/>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264969209"/>
      <w:bookmarkStart w:id="107" w:name="_Toc305158787"/>
      <w:bookmarkStart w:id="108" w:name="_Toc265228357"/>
      <w:bookmarkStart w:id="109" w:name="_Toc305158861"/>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305158862"/>
      <w:bookmarkStart w:id="111" w:name="_Toc142311022"/>
      <w:bookmarkStart w:id="112" w:name="_Toc151190147"/>
      <w:bookmarkStart w:id="113" w:name="_Toc150774620"/>
      <w:bookmarkStart w:id="114" w:name="_Toc265228358"/>
      <w:bookmarkStart w:id="115" w:name="_Toc150480758"/>
      <w:bookmarkStart w:id="116" w:name="_Toc264969210"/>
      <w:bookmarkStart w:id="117" w:name="_Toc195842885"/>
      <w:bookmarkStart w:id="118" w:name="_Toc150774725"/>
      <w:bookmarkStart w:id="119" w:name="_Toc151193908"/>
      <w:bookmarkStart w:id="120" w:name="_Toc150509271"/>
      <w:bookmarkStart w:id="121" w:name="_Toc151193618"/>
      <w:bookmarkStart w:id="122" w:name="_Toc127151520"/>
      <w:bookmarkStart w:id="123" w:name="_Toc226965710"/>
      <w:bookmarkStart w:id="124" w:name="_Toc305158788"/>
      <w:bookmarkStart w:id="125" w:name="_Toc226337216"/>
      <w:bookmarkStart w:id="126" w:name="_Toc226965793"/>
      <w:bookmarkStart w:id="127" w:name="_Toc151193690"/>
      <w:bookmarkStart w:id="128" w:name="_Toc164229361"/>
      <w:bookmarkStart w:id="129" w:name="_Toc164229215"/>
      <w:bookmarkStart w:id="130" w:name="_Toc151193834"/>
      <w:bookmarkStart w:id="131" w:name="_Toc164351614"/>
      <w:bookmarkStart w:id="132" w:name="_Toc164608634"/>
      <w:bookmarkStart w:id="133" w:name="_Toc164608789"/>
      <w:bookmarkStart w:id="134" w:name="_Toc226309764"/>
      <w:bookmarkStart w:id="135" w:name="_Toc127151721"/>
      <w:bookmarkStart w:id="136" w:name="_Toc151193762"/>
      <w:bookmarkStart w:id="137" w:name="_Toc149720813"/>
      <w:bookmarkStart w:id="138" w:name="_Toc127161434"/>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0774727"/>
      <w:bookmarkStart w:id="140" w:name="_Toc151190149"/>
      <w:bookmarkStart w:id="141" w:name="_Toc151193910"/>
      <w:bookmarkStart w:id="142" w:name="_Toc226309766"/>
      <w:bookmarkStart w:id="143" w:name="_Toc226337218"/>
      <w:bookmarkStart w:id="144" w:name="_Toc150509273"/>
      <w:bookmarkStart w:id="145" w:name="_Toc195842887"/>
      <w:bookmarkStart w:id="146" w:name="_Toc305158790"/>
      <w:bookmarkStart w:id="147" w:name="_Toc151193692"/>
      <w:bookmarkStart w:id="148" w:name="_Toc142311024"/>
      <w:bookmarkStart w:id="149" w:name="_Toc127151522"/>
      <w:bookmarkStart w:id="150" w:name="_Toc305158864"/>
      <w:bookmarkStart w:id="151" w:name="_Toc150480760"/>
      <w:bookmarkStart w:id="152" w:name="_Toc151193764"/>
      <w:bookmarkStart w:id="153" w:name="_Toc264969212"/>
      <w:bookmarkStart w:id="154" w:name="_Toc151193836"/>
      <w:bookmarkStart w:id="155" w:name="_Toc520356146"/>
      <w:bookmarkStart w:id="156" w:name="_Toc226965795"/>
      <w:bookmarkStart w:id="157" w:name="_Toc151193620"/>
      <w:bookmarkStart w:id="158" w:name="_Toc150774622"/>
      <w:bookmarkStart w:id="159" w:name="_Toc226965712"/>
      <w:bookmarkStart w:id="160" w:name="_Toc265228360"/>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151193765"/>
      <w:bookmarkStart w:id="163" w:name="_Toc151190150"/>
      <w:bookmarkStart w:id="164" w:name="_Toc150480761"/>
      <w:bookmarkStart w:id="165" w:name="_Toc150774623"/>
      <w:bookmarkStart w:id="166" w:name="_Toc151193621"/>
      <w:bookmarkStart w:id="167" w:name="_Toc149720816"/>
      <w:bookmarkStart w:id="168" w:name="_Toc164229364"/>
      <w:bookmarkStart w:id="169" w:name="_Toc150509274"/>
      <w:bookmarkStart w:id="170" w:name="_Toc164229218"/>
      <w:bookmarkStart w:id="171" w:name="_Toc127151523"/>
      <w:bookmarkStart w:id="172" w:name="_Toc265228361"/>
      <w:bookmarkStart w:id="173" w:name="_Toc164608792"/>
      <w:bookmarkStart w:id="174" w:name="_Toc226965796"/>
      <w:bookmarkStart w:id="175" w:name="_Toc520356147"/>
      <w:bookmarkStart w:id="176" w:name="_Toc142311025"/>
      <w:bookmarkStart w:id="177" w:name="_Toc305158791"/>
      <w:bookmarkStart w:id="178" w:name="_Toc226309767"/>
      <w:bookmarkStart w:id="179" w:name="_Toc264969213"/>
      <w:bookmarkStart w:id="180" w:name="_Toc151193911"/>
      <w:bookmarkStart w:id="181" w:name="_Toc151193837"/>
      <w:bookmarkStart w:id="182" w:name="_Toc150774728"/>
      <w:bookmarkStart w:id="183" w:name="_Toc195842888"/>
      <w:bookmarkStart w:id="184" w:name="_Toc164351617"/>
      <w:bookmarkStart w:id="185" w:name="_Toc164608637"/>
      <w:bookmarkStart w:id="186" w:name="_Toc151193693"/>
      <w:bookmarkStart w:id="187" w:name="_Toc226965713"/>
      <w:bookmarkStart w:id="188" w:name="_Toc226337219"/>
      <w:bookmarkStart w:id="189" w:name="_Toc305158865"/>
      <w:bookmarkStart w:id="190" w:name="_Toc127161437"/>
      <w:bookmarkStart w:id="191" w:name="_Toc127151724"/>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195842891"/>
      <w:bookmarkStart w:id="194" w:name="_Toc265228364"/>
      <w:bookmarkStart w:id="195" w:name="_Toc151190153"/>
      <w:bookmarkStart w:id="196" w:name="_Toc264969216"/>
      <w:bookmarkStart w:id="197" w:name="_Toc127151526"/>
      <w:bookmarkStart w:id="198" w:name="_Toc226309770"/>
      <w:bookmarkStart w:id="199" w:name="_Toc150509277"/>
      <w:bookmarkStart w:id="200" w:name="_Toc226965716"/>
      <w:bookmarkStart w:id="201" w:name="_Toc520356150"/>
      <w:bookmarkStart w:id="202" w:name="_Toc151193624"/>
      <w:bookmarkStart w:id="203" w:name="_Toc142311028"/>
      <w:bookmarkStart w:id="204" w:name="_Toc150480764"/>
      <w:bookmarkStart w:id="205" w:name="_Toc305158868"/>
      <w:bookmarkStart w:id="206" w:name="_Toc226965799"/>
      <w:bookmarkStart w:id="207" w:name="_Toc150774626"/>
      <w:bookmarkStart w:id="208" w:name="_Toc151193840"/>
      <w:bookmarkStart w:id="209" w:name="_Toc226337222"/>
      <w:bookmarkStart w:id="210" w:name="_Toc150774731"/>
      <w:bookmarkStart w:id="211" w:name="_Toc151193768"/>
      <w:bookmarkStart w:id="212" w:name="_Toc151193696"/>
      <w:bookmarkStart w:id="213" w:name="_Toc305158794"/>
      <w:bookmarkStart w:id="214" w:name="_Toc151193914"/>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516367021"/>
      <w:bookmarkStart w:id="216" w:name="_Toc150774732"/>
      <w:bookmarkStart w:id="217" w:name="_Toc305158869"/>
      <w:bookmarkStart w:id="218" w:name="_Toc151190154"/>
      <w:bookmarkStart w:id="219" w:name="_Toc127151527"/>
      <w:bookmarkStart w:id="220" w:name="_Toc164229222"/>
      <w:bookmarkStart w:id="221" w:name="_Toc164229368"/>
      <w:bookmarkStart w:id="222" w:name="_Toc195842892"/>
      <w:bookmarkStart w:id="223" w:name="_Toc164608641"/>
      <w:bookmarkStart w:id="224" w:name="_Toc164351621"/>
      <w:bookmarkStart w:id="225" w:name="_Toc127161441"/>
      <w:bookmarkStart w:id="226" w:name="_Toc127151728"/>
      <w:bookmarkStart w:id="227" w:name="_Toc150774627"/>
      <w:bookmarkStart w:id="228" w:name="_Toc264969217"/>
      <w:bookmarkStart w:id="229" w:name="_Toc520356151"/>
      <w:bookmarkStart w:id="230" w:name="_Toc150480765"/>
      <w:bookmarkStart w:id="231" w:name="_Toc164608796"/>
      <w:bookmarkStart w:id="232" w:name="_Toc305158795"/>
      <w:bookmarkStart w:id="233" w:name="_Toc151193625"/>
      <w:bookmarkStart w:id="234" w:name="_Toc226309771"/>
      <w:bookmarkStart w:id="235" w:name="_Toc226337223"/>
      <w:bookmarkStart w:id="236" w:name="_Toc151193697"/>
      <w:bookmarkStart w:id="237" w:name="_Toc151193841"/>
      <w:bookmarkStart w:id="238" w:name="_Toc226965800"/>
      <w:bookmarkStart w:id="239" w:name="_Toc265228365"/>
      <w:bookmarkStart w:id="240" w:name="_Toc226965717"/>
      <w:bookmarkStart w:id="241" w:name="_Toc142311029"/>
      <w:bookmarkStart w:id="242" w:name="_Toc151193915"/>
      <w:bookmarkStart w:id="243" w:name="_Toc151193769"/>
      <w:bookmarkStart w:id="244" w:name="_Toc150509278"/>
      <w:bookmarkStart w:id="245" w:name="_Toc149720820"/>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Toc516367022"/>
      <w:bookmarkStart w:id="247" w:name="_Ref467306195"/>
      <w:bookmarkStart w:id="248" w:name="_Ref467306676"/>
      <w:bookmarkStart w:id="249" w:name="_Toc127151528"/>
      <w:bookmarkStart w:id="250" w:name="_Toc305158870"/>
      <w:bookmarkStart w:id="251" w:name="_Toc265228366"/>
      <w:bookmarkStart w:id="252" w:name="_Toc127161442"/>
      <w:bookmarkStart w:id="253" w:name="_Toc264969218"/>
      <w:bookmarkStart w:id="254" w:name="_Toc150774628"/>
      <w:bookmarkStart w:id="255" w:name="_Toc150774733"/>
      <w:bookmarkStart w:id="256" w:name="_Toc151193916"/>
      <w:bookmarkStart w:id="257" w:name="_Toc305158796"/>
      <w:bookmarkStart w:id="258" w:name="_Toc226337224"/>
      <w:bookmarkStart w:id="259" w:name="_Toc151193842"/>
      <w:bookmarkStart w:id="260" w:name="_Toc151193626"/>
      <w:bookmarkStart w:id="261" w:name="_Toc151190155"/>
      <w:bookmarkStart w:id="262" w:name="_Toc226965718"/>
      <w:bookmarkStart w:id="263" w:name="_Toc151193698"/>
      <w:bookmarkStart w:id="264" w:name="_Toc520356152"/>
      <w:bookmarkStart w:id="265" w:name="_Toc226309772"/>
      <w:bookmarkStart w:id="266" w:name="_Toc164229369"/>
      <w:bookmarkStart w:id="267" w:name="_Toc164608797"/>
      <w:bookmarkStart w:id="268" w:name="_Toc164229223"/>
      <w:bookmarkStart w:id="269" w:name="_Toc195842893"/>
      <w:bookmarkStart w:id="270" w:name="_Toc151193770"/>
      <w:bookmarkStart w:id="271" w:name="_Toc150509279"/>
      <w:bookmarkStart w:id="272" w:name="_Toc142311030"/>
      <w:bookmarkStart w:id="273" w:name="_Toc149720821"/>
      <w:bookmarkStart w:id="274" w:name="_Toc127151729"/>
      <w:bookmarkStart w:id="275" w:name="_Toc150480766"/>
      <w:bookmarkStart w:id="276" w:name="_Toc226965801"/>
      <w:bookmarkStart w:id="277" w:name="_Toc164608642"/>
      <w:bookmarkStart w:id="278" w:name="_Toc164351622"/>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51193844"/>
      <w:bookmarkStart w:id="281" w:name="_Toc151193772"/>
      <w:bookmarkStart w:id="282" w:name="_Toc150480768"/>
      <w:bookmarkStart w:id="283" w:name="_Toc127161444"/>
      <w:bookmarkStart w:id="284" w:name="_Toc195842895"/>
      <w:bookmarkStart w:id="285" w:name="_Toc164608799"/>
      <w:bookmarkStart w:id="286" w:name="_Toc164229371"/>
      <w:bookmarkStart w:id="287" w:name="_Toc142311032"/>
      <w:bookmarkStart w:id="288" w:name="_Toc164229225"/>
      <w:bookmarkStart w:id="289" w:name="_Toc151193628"/>
      <w:bookmarkStart w:id="290" w:name="_Toc127151530"/>
      <w:bookmarkStart w:id="291" w:name="_Toc127151731"/>
      <w:bookmarkStart w:id="292" w:name="_Toc164351624"/>
      <w:bookmarkStart w:id="293" w:name="_Toc150774735"/>
      <w:bookmarkStart w:id="294" w:name="_Toc150774630"/>
      <w:bookmarkStart w:id="295" w:name="_Toc151193700"/>
      <w:bookmarkStart w:id="296" w:name="_Toc151193918"/>
      <w:bookmarkStart w:id="297" w:name="_Toc149720823"/>
      <w:bookmarkStart w:id="298" w:name="_Toc520356155"/>
      <w:bookmarkStart w:id="299" w:name="_Toc151190157"/>
      <w:bookmarkStart w:id="300" w:name="_Toc164608644"/>
      <w:bookmarkStart w:id="301" w:name="_Toc150509281"/>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50509282"/>
      <w:bookmarkStart w:id="303" w:name="_Ref467306513"/>
      <w:bookmarkStart w:id="304" w:name="_Toc226309775"/>
      <w:bookmarkStart w:id="305" w:name="_Toc226965804"/>
      <w:bookmarkStart w:id="306" w:name="_Toc127161445"/>
      <w:bookmarkStart w:id="307" w:name="_Toc151193701"/>
      <w:bookmarkStart w:id="308" w:name="_Toc164229226"/>
      <w:bookmarkStart w:id="309" w:name="_Toc265228369"/>
      <w:bookmarkStart w:id="310" w:name="_Toc195842896"/>
      <w:bookmarkStart w:id="311" w:name="_Toc520356156"/>
      <w:bookmarkStart w:id="312" w:name="_Toc151190158"/>
      <w:bookmarkStart w:id="313" w:name="_Toc127151531"/>
      <w:bookmarkStart w:id="314" w:name="_Toc164608645"/>
      <w:bookmarkStart w:id="315" w:name="_Toc226337227"/>
      <w:bookmarkStart w:id="316" w:name="_Toc150774736"/>
      <w:bookmarkStart w:id="317" w:name="_Toc305158799"/>
      <w:bookmarkStart w:id="318" w:name="_Toc164229372"/>
      <w:bookmarkStart w:id="319" w:name="_Toc151193919"/>
      <w:bookmarkStart w:id="320" w:name="_Toc150480769"/>
      <w:bookmarkStart w:id="321" w:name="_Toc264969221"/>
      <w:bookmarkStart w:id="322" w:name="_Toc305158873"/>
      <w:bookmarkStart w:id="323" w:name="_Toc151193773"/>
      <w:bookmarkStart w:id="324" w:name="_Toc150774631"/>
      <w:bookmarkStart w:id="325" w:name="_Toc151193629"/>
      <w:bookmarkStart w:id="326" w:name="_Toc226965721"/>
      <w:bookmarkStart w:id="327" w:name="_Toc164351625"/>
      <w:bookmarkStart w:id="328" w:name="_Toc142311033"/>
      <w:bookmarkStart w:id="329" w:name="_Toc151193845"/>
      <w:bookmarkStart w:id="330" w:name="_Toc127151732"/>
      <w:bookmarkStart w:id="331" w:name="_Toc149720824"/>
      <w:bookmarkStart w:id="332" w:name="_Toc164608800"/>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51193702"/>
      <w:bookmarkStart w:id="334" w:name="_Toc305158874"/>
      <w:bookmarkStart w:id="335" w:name="_Toc151193846"/>
      <w:bookmarkStart w:id="336" w:name="_Toc305158800"/>
      <w:bookmarkStart w:id="337" w:name="_Toc264969222"/>
      <w:bookmarkStart w:id="338" w:name="_Toc142311034"/>
      <w:bookmarkStart w:id="339" w:name="_Toc127151733"/>
      <w:bookmarkStart w:id="340" w:name="_Toc265228370"/>
      <w:bookmarkStart w:id="341" w:name="_Toc226965805"/>
      <w:bookmarkStart w:id="342" w:name="_Toc150774737"/>
      <w:bookmarkStart w:id="343" w:name="_Toc164229373"/>
      <w:bookmarkStart w:id="344" w:name="_Toc127151532"/>
      <w:bookmarkStart w:id="345" w:name="_Toc164608801"/>
      <w:bookmarkStart w:id="346" w:name="_Toc149720825"/>
      <w:bookmarkStart w:id="347" w:name="_Toc226309776"/>
      <w:bookmarkStart w:id="348" w:name="_Toc226965722"/>
      <w:bookmarkStart w:id="349" w:name="_Toc150480770"/>
      <w:bookmarkStart w:id="350" w:name="_Toc520356157"/>
      <w:bookmarkStart w:id="351" w:name="_Toc226337228"/>
      <w:bookmarkStart w:id="352" w:name="_Toc127161446"/>
      <w:bookmarkStart w:id="353" w:name="_Toc164229227"/>
      <w:bookmarkStart w:id="354" w:name="_Toc150509283"/>
      <w:bookmarkStart w:id="355" w:name="_Toc195842897"/>
      <w:bookmarkStart w:id="356" w:name="_Toc164608646"/>
      <w:bookmarkStart w:id="357" w:name="_Toc151193774"/>
      <w:bookmarkStart w:id="358" w:name="_Toc151190159"/>
      <w:bookmarkStart w:id="359" w:name="_Toc164351626"/>
      <w:bookmarkStart w:id="360" w:name="_Toc150774632"/>
      <w:bookmarkStart w:id="361" w:name="_Toc151193630"/>
      <w:bookmarkStart w:id="362" w:name="_Toc151193920"/>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51193703"/>
      <w:bookmarkStart w:id="364" w:name="_Toc164608647"/>
      <w:bookmarkStart w:id="365" w:name="_Toc127151533"/>
      <w:bookmarkStart w:id="366" w:name="_Toc226965806"/>
      <w:bookmarkStart w:id="367" w:name="_Toc195842898"/>
      <w:bookmarkStart w:id="368" w:name="_Toc520356158"/>
      <w:bookmarkStart w:id="369" w:name="_Toc151193775"/>
      <w:bookmarkStart w:id="370" w:name="_Toc164229228"/>
      <w:bookmarkStart w:id="371" w:name="_Toc164351627"/>
      <w:bookmarkStart w:id="372" w:name="_Toc164229374"/>
      <w:bookmarkStart w:id="373" w:name="_Toc151193847"/>
      <w:bookmarkStart w:id="374" w:name="_Toc151193631"/>
      <w:bookmarkStart w:id="375" w:name="_Toc151193921"/>
      <w:bookmarkStart w:id="376" w:name="_Toc151190160"/>
      <w:bookmarkStart w:id="377" w:name="_Toc127151734"/>
      <w:bookmarkStart w:id="378" w:name="_Toc305158801"/>
      <w:bookmarkStart w:id="379" w:name="_Toc149720826"/>
      <w:bookmarkStart w:id="380" w:name="_Toc150774633"/>
      <w:bookmarkStart w:id="381" w:name="_Toc150509284"/>
      <w:bookmarkStart w:id="382" w:name="_Toc265228371"/>
      <w:bookmarkStart w:id="383" w:name="_Toc226309777"/>
      <w:bookmarkStart w:id="384" w:name="_Toc164608802"/>
      <w:bookmarkStart w:id="385" w:name="_Toc150480771"/>
      <w:bookmarkStart w:id="386" w:name="_Toc127161447"/>
      <w:bookmarkStart w:id="387" w:name="_Toc264969223"/>
      <w:bookmarkStart w:id="388" w:name="_Toc142311035"/>
      <w:bookmarkStart w:id="389" w:name="_Toc150774738"/>
      <w:bookmarkStart w:id="390" w:name="_Toc226965723"/>
      <w:bookmarkStart w:id="391" w:name="_Toc226337229"/>
      <w:bookmarkStart w:id="392" w:name="_Toc305158875"/>
      <w:bookmarkStart w:id="393" w:name="_Toc150774634"/>
      <w:bookmarkStart w:id="394" w:name="_Toc195842899"/>
      <w:bookmarkStart w:id="395" w:name="_Toc150480772"/>
      <w:bookmarkStart w:id="396" w:name="_Toc226337230"/>
      <w:bookmarkStart w:id="397" w:name="_Toc151193776"/>
      <w:bookmarkStart w:id="398" w:name="_Toc151193632"/>
      <w:bookmarkStart w:id="399" w:name="_Toc150774739"/>
      <w:bookmarkStart w:id="400" w:name="_Toc127151534"/>
      <w:bookmarkStart w:id="401" w:name="_Toc151190161"/>
      <w:bookmarkStart w:id="402" w:name="_Toc305158802"/>
      <w:bookmarkStart w:id="403" w:name="_Toc151193848"/>
      <w:bookmarkStart w:id="404" w:name="_Toc226309778"/>
      <w:bookmarkStart w:id="405" w:name="_Toc520356159"/>
      <w:bookmarkStart w:id="406" w:name="_Toc226965724"/>
      <w:bookmarkStart w:id="407" w:name="_Toc265228372"/>
      <w:bookmarkStart w:id="408" w:name="_Toc142311036"/>
      <w:bookmarkStart w:id="409" w:name="_Toc264969224"/>
      <w:bookmarkStart w:id="410" w:name="_Toc151193704"/>
      <w:bookmarkStart w:id="411" w:name="_Toc305158876"/>
      <w:bookmarkStart w:id="412" w:name="_Toc150509285"/>
      <w:bookmarkStart w:id="413" w:name="_Toc151193922"/>
      <w:bookmarkStart w:id="414" w:name="_Toc226965807"/>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164608649"/>
      <w:bookmarkStart w:id="417" w:name="_Toc305158803"/>
      <w:bookmarkStart w:id="418" w:name="_Toc520356160"/>
      <w:bookmarkStart w:id="419" w:name="_Toc127151535"/>
      <w:bookmarkStart w:id="420" w:name="_Toc151193923"/>
      <w:bookmarkStart w:id="421" w:name="_Toc164351629"/>
      <w:bookmarkStart w:id="422" w:name="_Toc164608804"/>
      <w:bookmarkStart w:id="423" w:name="_Toc151193633"/>
      <w:bookmarkStart w:id="424" w:name="_Toc151193777"/>
      <w:bookmarkStart w:id="425" w:name="_Toc149720828"/>
      <w:bookmarkStart w:id="426" w:name="_Toc264969225"/>
      <w:bookmarkStart w:id="427" w:name="_Toc150774635"/>
      <w:bookmarkStart w:id="428" w:name="_Toc127151736"/>
      <w:bookmarkStart w:id="429" w:name="_Toc164229376"/>
      <w:bookmarkStart w:id="430" w:name="_Toc150509286"/>
      <w:bookmarkStart w:id="431" w:name="_Toc151190162"/>
      <w:bookmarkStart w:id="432" w:name="_Toc150480773"/>
      <w:bookmarkStart w:id="433" w:name="_Toc150774740"/>
      <w:bookmarkStart w:id="434" w:name="_Toc226309779"/>
      <w:bookmarkStart w:id="435" w:name="_Toc226965725"/>
      <w:bookmarkStart w:id="436" w:name="_Toc305158877"/>
      <w:bookmarkStart w:id="437" w:name="_Toc226965808"/>
      <w:bookmarkStart w:id="438" w:name="_Toc265228373"/>
      <w:bookmarkStart w:id="439" w:name="_Toc151193849"/>
      <w:bookmarkStart w:id="440" w:name="_Toc164229230"/>
      <w:bookmarkStart w:id="441" w:name="_Toc151193705"/>
      <w:bookmarkStart w:id="442" w:name="_Toc142311037"/>
      <w:bookmarkStart w:id="443" w:name="_Toc195842900"/>
      <w:bookmarkStart w:id="444" w:name="_Toc127161449"/>
      <w:bookmarkStart w:id="445" w:name="_Toc226337231"/>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27151536"/>
      <w:bookmarkStart w:id="447" w:name="_Toc164608650"/>
      <w:bookmarkStart w:id="448" w:name="_Toc127161450"/>
      <w:bookmarkStart w:id="449" w:name="_Toc127151737"/>
      <w:bookmarkStart w:id="450" w:name="_Toc149720829"/>
      <w:bookmarkStart w:id="451" w:name="_Toc164608805"/>
      <w:bookmarkStart w:id="452" w:name="_Toc151193924"/>
      <w:bookmarkStart w:id="453" w:name="_Toc164229377"/>
      <w:bookmarkStart w:id="454" w:name="_Toc164229231"/>
      <w:bookmarkStart w:id="455" w:name="_Toc150774636"/>
      <w:bookmarkStart w:id="456" w:name="_Toc151193850"/>
      <w:bookmarkStart w:id="457" w:name="_Toc151190163"/>
      <w:bookmarkStart w:id="458" w:name="_Toc195842901"/>
      <w:bookmarkStart w:id="459" w:name="_Toc151193778"/>
      <w:bookmarkStart w:id="460" w:name="_Toc150509287"/>
      <w:bookmarkStart w:id="461" w:name="_Toc150480774"/>
      <w:bookmarkStart w:id="462" w:name="_Toc305158878"/>
      <w:bookmarkStart w:id="463" w:name="_Toc265228374"/>
      <w:bookmarkStart w:id="464" w:name="_Toc164351630"/>
      <w:bookmarkStart w:id="465" w:name="_Toc520356161"/>
      <w:bookmarkStart w:id="466" w:name="_Toc264969226"/>
      <w:bookmarkStart w:id="467" w:name="_Toc305158804"/>
      <w:bookmarkStart w:id="468" w:name="_Toc151193634"/>
      <w:bookmarkStart w:id="469" w:name="_Toc226337232"/>
      <w:bookmarkStart w:id="470" w:name="_Toc226965726"/>
      <w:bookmarkStart w:id="471" w:name="_Toc150774741"/>
      <w:bookmarkStart w:id="472" w:name="_Toc226965809"/>
      <w:bookmarkStart w:id="473" w:name="_Toc226309780"/>
      <w:bookmarkStart w:id="474" w:name="_Toc142311038"/>
      <w:bookmarkStart w:id="475" w:name="_Toc151193706"/>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305158879"/>
      <w:bookmarkStart w:id="477" w:name="_Toc151193851"/>
      <w:bookmarkStart w:id="478" w:name="_Toc149720830"/>
      <w:bookmarkStart w:id="479" w:name="_Toc151193925"/>
      <w:bookmarkStart w:id="480" w:name="_Toc142311039"/>
      <w:bookmarkStart w:id="481" w:name="_Toc226965727"/>
      <w:bookmarkStart w:id="482" w:name="_Toc150480775"/>
      <w:bookmarkStart w:id="483" w:name="_Toc265228375"/>
      <w:bookmarkStart w:id="484" w:name="_Toc151193707"/>
      <w:bookmarkStart w:id="485" w:name="_Toc127161451"/>
      <w:bookmarkStart w:id="486" w:name="_Toc164229378"/>
      <w:bookmarkStart w:id="487" w:name="_Toc226337233"/>
      <w:bookmarkStart w:id="488" w:name="_Toc151190164"/>
      <w:bookmarkStart w:id="489" w:name="_Toc150774742"/>
      <w:bookmarkStart w:id="490" w:name="_Toc151193635"/>
      <w:bookmarkStart w:id="491" w:name="_Toc164608651"/>
      <w:bookmarkStart w:id="492" w:name="_Toc151193779"/>
      <w:bookmarkStart w:id="493" w:name="_Toc127151738"/>
      <w:bookmarkStart w:id="494" w:name="_Toc150774637"/>
      <w:bookmarkStart w:id="495" w:name="_Toc264969227"/>
      <w:bookmarkStart w:id="496" w:name="_Toc127151537"/>
      <w:bookmarkStart w:id="497" w:name="_Toc226309781"/>
      <w:bookmarkStart w:id="498" w:name="_Toc150509288"/>
      <w:bookmarkStart w:id="499" w:name="_Toc226965810"/>
      <w:bookmarkStart w:id="500" w:name="_Toc164229232"/>
      <w:bookmarkStart w:id="501" w:name="_Toc520356162"/>
      <w:bookmarkStart w:id="502" w:name="_Toc164351631"/>
      <w:bookmarkStart w:id="503" w:name="_Toc305158805"/>
      <w:bookmarkStart w:id="504" w:name="_Toc195842902"/>
      <w:bookmarkStart w:id="505" w:name="_Toc164608806"/>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127151538"/>
      <w:bookmarkStart w:id="507" w:name="_Toc150774743"/>
      <w:bookmarkStart w:id="508" w:name="_Toc305158880"/>
      <w:bookmarkStart w:id="509" w:name="_Toc226309782"/>
      <w:bookmarkStart w:id="510" w:name="_Toc226965728"/>
      <w:bookmarkStart w:id="511" w:name="_Toc195842903"/>
      <w:bookmarkStart w:id="512" w:name="_Toc150774638"/>
      <w:bookmarkStart w:id="513" w:name="_Toc151190165"/>
      <w:bookmarkStart w:id="514" w:name="_Toc226965811"/>
      <w:bookmarkStart w:id="515" w:name="_Toc151193636"/>
      <w:bookmarkStart w:id="516" w:name="_Toc150480776"/>
      <w:bookmarkStart w:id="517" w:name="_Toc264969228"/>
      <w:bookmarkStart w:id="518" w:name="_Toc305158806"/>
      <w:bookmarkStart w:id="519" w:name="_Toc150509289"/>
      <w:bookmarkStart w:id="520" w:name="_Toc265228376"/>
      <w:bookmarkStart w:id="521" w:name="_Toc142311040"/>
      <w:bookmarkStart w:id="522" w:name="_Toc151193780"/>
      <w:bookmarkStart w:id="523" w:name="_Toc151193852"/>
      <w:bookmarkStart w:id="524" w:name="_Toc151193926"/>
      <w:bookmarkStart w:id="525" w:name="_Toc151193708"/>
      <w:bookmarkStart w:id="526" w:name="_Toc520356163"/>
      <w:bookmarkStart w:id="527" w:name="_Toc226337234"/>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226965729"/>
      <w:bookmarkStart w:id="529" w:name="_Toc226337235"/>
      <w:bookmarkStart w:id="530" w:name="_Toc195842904"/>
      <w:bookmarkStart w:id="531" w:name="_Toc226309783"/>
      <w:bookmarkStart w:id="532" w:name="_Toc265228377"/>
      <w:bookmarkStart w:id="533" w:name="_Toc151193853"/>
      <w:bookmarkStart w:id="534" w:name="_Toc520356164"/>
      <w:bookmarkStart w:id="535" w:name="_Toc164608653"/>
      <w:bookmarkStart w:id="536" w:name="_Toc264969229"/>
      <w:bookmarkStart w:id="537" w:name="_Toc164229380"/>
      <w:bookmarkStart w:id="538" w:name="_Toc151193927"/>
      <w:bookmarkStart w:id="539" w:name="_Toc142311041"/>
      <w:bookmarkStart w:id="540" w:name="_Toc305158881"/>
      <w:bookmarkStart w:id="541" w:name="_Toc164351633"/>
      <w:bookmarkStart w:id="542" w:name="_Toc151193781"/>
      <w:bookmarkStart w:id="543" w:name="_Toc151193709"/>
      <w:bookmarkStart w:id="544" w:name="_Toc164229234"/>
      <w:bookmarkStart w:id="545" w:name="_Toc226965812"/>
      <w:bookmarkStart w:id="546" w:name="_Toc164608808"/>
      <w:bookmarkStart w:id="547" w:name="_Toc151193637"/>
      <w:bookmarkStart w:id="548" w:name="_Toc127151539"/>
      <w:bookmarkStart w:id="549" w:name="_Toc150509290"/>
      <w:bookmarkStart w:id="550" w:name="_Toc305158807"/>
      <w:bookmarkStart w:id="551" w:name="_Toc149720832"/>
      <w:bookmarkStart w:id="552" w:name="_Toc127161453"/>
      <w:bookmarkStart w:id="553" w:name="_Toc150774639"/>
      <w:bookmarkStart w:id="554" w:name="_Toc150774744"/>
      <w:bookmarkStart w:id="555" w:name="_Toc151190166"/>
      <w:bookmarkStart w:id="556" w:name="_Toc127151740"/>
      <w:bookmarkStart w:id="557" w:name="_Toc150480777"/>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64351634"/>
      <w:bookmarkStart w:id="560" w:name="_Toc164608809"/>
      <w:bookmarkStart w:id="561" w:name="_Toc142311042"/>
      <w:bookmarkStart w:id="562" w:name="_Toc151190167"/>
      <w:bookmarkStart w:id="563" w:name="_Toc264969230"/>
      <w:bookmarkStart w:id="564" w:name="_Toc265228378"/>
      <w:bookmarkStart w:id="565" w:name="_Toc226309784"/>
      <w:bookmarkStart w:id="566" w:name="_Toc150774640"/>
      <w:bookmarkStart w:id="567" w:name="_Toc305158808"/>
      <w:bookmarkStart w:id="568" w:name="_Toc195842905"/>
      <w:bookmarkStart w:id="569" w:name="_Toc226965813"/>
      <w:bookmarkStart w:id="570" w:name="_Toc164608654"/>
      <w:bookmarkStart w:id="571" w:name="_Toc151193710"/>
      <w:bookmarkStart w:id="572" w:name="_Toc150774745"/>
      <w:bookmarkStart w:id="573" w:name="_Toc149720833"/>
      <w:bookmarkStart w:id="574" w:name="_Toc127151540"/>
      <w:bookmarkStart w:id="575" w:name="_Toc151193928"/>
      <w:bookmarkStart w:id="576" w:name="_Toc226965730"/>
      <w:bookmarkStart w:id="577" w:name="_Toc164229235"/>
      <w:bookmarkStart w:id="578" w:name="_Toc151193782"/>
      <w:bookmarkStart w:id="579" w:name="_Toc150480778"/>
      <w:bookmarkStart w:id="580" w:name="_Toc226337236"/>
      <w:bookmarkStart w:id="581" w:name="_Toc164229381"/>
      <w:bookmarkStart w:id="582" w:name="_Toc305158882"/>
      <w:bookmarkStart w:id="583" w:name="_Toc127161454"/>
      <w:bookmarkStart w:id="584" w:name="_Toc151193854"/>
      <w:bookmarkStart w:id="585" w:name="_Toc150509291"/>
      <w:bookmarkStart w:id="586" w:name="_Toc151193638"/>
      <w:bookmarkStart w:id="587" w:name="_Toc127151741"/>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127151545"/>
      <w:bookmarkStart w:id="590" w:name="_Toc151193787"/>
      <w:bookmarkStart w:id="591" w:name="_Toc305158887"/>
      <w:bookmarkStart w:id="592" w:name="_Toc151193643"/>
      <w:bookmarkStart w:id="593" w:name="_Toc151190172"/>
      <w:bookmarkStart w:id="594" w:name="_Toc151193933"/>
      <w:bookmarkStart w:id="595" w:name="_Toc264969235"/>
      <w:bookmarkStart w:id="596" w:name="_Toc226965735"/>
      <w:bookmarkStart w:id="597" w:name="_Toc151193715"/>
      <w:bookmarkStart w:id="598" w:name="_Toc195842910"/>
      <w:bookmarkStart w:id="599" w:name="_Toc226965818"/>
      <w:bookmarkStart w:id="600" w:name="_Toc142311047"/>
      <w:bookmarkStart w:id="601" w:name="_Toc150480783"/>
      <w:bookmarkStart w:id="602" w:name="_Toc150774750"/>
      <w:bookmarkStart w:id="603" w:name="_Toc226309789"/>
      <w:bookmarkStart w:id="604" w:name="_Toc151193859"/>
      <w:bookmarkStart w:id="605" w:name="_Toc305158813"/>
      <w:bookmarkStart w:id="606" w:name="_Toc226337241"/>
      <w:bookmarkStart w:id="607" w:name="_Toc265228383"/>
      <w:bookmarkStart w:id="608" w:name="_Toc150509296"/>
      <w:bookmarkStart w:id="609" w:name="_Toc150774645"/>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226337243"/>
      <w:bookmarkStart w:id="611" w:name="_Toc164229388"/>
      <w:bookmarkStart w:id="612" w:name="_Toc164229242"/>
      <w:bookmarkStart w:id="613" w:name="_Toc127151748"/>
      <w:bookmarkStart w:id="614" w:name="_Toc151193717"/>
      <w:bookmarkStart w:id="615" w:name="_Toc151193861"/>
      <w:bookmarkStart w:id="616" w:name="_Toc226965820"/>
      <w:bookmarkStart w:id="617" w:name="_Toc151190174"/>
      <w:bookmarkStart w:id="618" w:name="_Toc264969237"/>
      <w:bookmarkStart w:id="619" w:name="_Toc142311049"/>
      <w:bookmarkStart w:id="620" w:name="_Toc226965737"/>
      <w:bookmarkStart w:id="621" w:name="_Toc151193789"/>
      <w:bookmarkStart w:id="622" w:name="_Toc164351641"/>
      <w:bookmarkStart w:id="623" w:name="_Toc305158889"/>
      <w:bookmarkStart w:id="624" w:name="_Toc151193935"/>
      <w:bookmarkStart w:id="625" w:name="_Toc226309791"/>
      <w:bookmarkStart w:id="626" w:name="_Toc151193645"/>
      <w:bookmarkStart w:id="627" w:name="_Toc150480785"/>
      <w:bookmarkStart w:id="628" w:name="_Toc195842912"/>
      <w:bookmarkStart w:id="629" w:name="_Toc164608661"/>
      <w:bookmarkStart w:id="630" w:name="_Toc265228385"/>
      <w:bookmarkStart w:id="631" w:name="_Toc164608816"/>
      <w:bookmarkStart w:id="632" w:name="_Toc150774752"/>
      <w:bookmarkStart w:id="633" w:name="_Toc127161461"/>
      <w:bookmarkStart w:id="634" w:name="_Toc305158815"/>
      <w:bookmarkStart w:id="635" w:name="_Toc150774647"/>
      <w:bookmarkStart w:id="636" w:name="_Toc150509298"/>
      <w:bookmarkStart w:id="637" w:name="_Toc127151547"/>
      <w:bookmarkStart w:id="638" w:name="_Toc149720840"/>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17"/>
      <w:bookmarkStart w:id="640" w:name="_Toc305158891"/>
      <w:bookmarkStart w:id="641" w:name="_Toc195842914"/>
      <w:bookmarkStart w:id="642" w:name="_Toc226965822"/>
      <w:bookmarkStart w:id="643" w:name="_Toc264969239"/>
      <w:bookmarkStart w:id="644" w:name="_Toc151193791"/>
      <w:bookmarkStart w:id="645" w:name="_Toc164229390"/>
      <w:bookmarkStart w:id="646" w:name="_Toc150774649"/>
      <w:bookmarkStart w:id="647" w:name="_Toc164608663"/>
      <w:bookmarkStart w:id="648" w:name="_Toc226309793"/>
      <w:bookmarkStart w:id="649" w:name="_Toc149720842"/>
      <w:bookmarkStart w:id="650" w:name="_Toc226337245"/>
      <w:bookmarkStart w:id="651" w:name="_Toc151193647"/>
      <w:bookmarkStart w:id="652" w:name="_Toc164229244"/>
      <w:bookmarkStart w:id="653" w:name="_Toc164351643"/>
      <w:bookmarkStart w:id="654" w:name="_Toc164608818"/>
      <w:bookmarkStart w:id="655" w:name="_Toc226965739"/>
      <w:bookmarkStart w:id="656" w:name="_Toc150509300"/>
      <w:bookmarkStart w:id="657" w:name="_Toc265228387"/>
      <w:bookmarkStart w:id="658" w:name="_Toc142311051"/>
      <w:bookmarkStart w:id="659" w:name="_Toc151190176"/>
      <w:bookmarkStart w:id="660" w:name="_Toc127151750"/>
      <w:bookmarkStart w:id="661" w:name="_Toc151193863"/>
      <w:bookmarkStart w:id="662" w:name="_Toc151193719"/>
      <w:bookmarkStart w:id="663" w:name="_Toc151193937"/>
      <w:bookmarkStart w:id="664" w:name="_Toc150480787"/>
      <w:bookmarkStart w:id="665" w:name="_Toc150774754"/>
      <w:bookmarkStart w:id="666" w:name="_Toc127161463"/>
      <w:bookmarkStart w:id="667" w:name="_Toc127151549"/>
      <w:bookmarkStart w:id="668" w:name="_Ref467306425"/>
      <w:bookmarkStart w:id="669" w:name="_Toc520356176"/>
      <w:bookmarkStart w:id="670" w:name="_Ref467307090"/>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226309794"/>
      <w:bookmarkStart w:id="672" w:name="_Ref467307062"/>
      <w:bookmarkStart w:id="673" w:name="_Toc151193938"/>
      <w:bookmarkStart w:id="674" w:name="_Toc150509301"/>
      <w:bookmarkStart w:id="675" w:name="_Toc164351644"/>
      <w:bookmarkStart w:id="676" w:name="_Toc265228388"/>
      <w:bookmarkStart w:id="677" w:name="_Toc151190177"/>
      <w:bookmarkStart w:id="678" w:name="_Toc151193648"/>
      <w:bookmarkStart w:id="679" w:name="_Ref467306978"/>
      <w:bookmarkStart w:id="680" w:name="_Toc226337246"/>
      <w:bookmarkStart w:id="681" w:name="_Toc151193720"/>
      <w:bookmarkStart w:id="682" w:name="_Toc127151550"/>
      <w:bookmarkStart w:id="683" w:name="_Toc127151751"/>
      <w:bookmarkStart w:id="684" w:name="_Toc127161464"/>
      <w:bookmarkStart w:id="685" w:name="_Toc195842915"/>
      <w:bookmarkStart w:id="686" w:name="_Toc150480788"/>
      <w:bookmarkStart w:id="687" w:name="_Toc164608664"/>
      <w:bookmarkStart w:id="688" w:name="_Toc226965740"/>
      <w:bookmarkStart w:id="689" w:name="_Toc150774755"/>
      <w:bookmarkStart w:id="690" w:name="_Toc164608819"/>
      <w:bookmarkStart w:id="691" w:name="_Toc305158892"/>
      <w:bookmarkStart w:id="692" w:name="_Toc151193864"/>
      <w:bookmarkStart w:id="693" w:name="_Toc150774650"/>
      <w:bookmarkStart w:id="694" w:name="_Toc149720843"/>
      <w:bookmarkStart w:id="695" w:name="_Toc142311052"/>
      <w:bookmarkStart w:id="696" w:name="_Toc264969240"/>
      <w:bookmarkStart w:id="697" w:name="_Toc151193792"/>
      <w:bookmarkStart w:id="698" w:name="_Ref467307204"/>
      <w:bookmarkStart w:id="699" w:name="_Toc226965823"/>
      <w:bookmarkStart w:id="700" w:name="_Toc164229245"/>
      <w:bookmarkStart w:id="701" w:name="_Ref467306377"/>
      <w:bookmarkStart w:id="702" w:name="_Toc520356175"/>
      <w:bookmarkStart w:id="703" w:name="_Toc305158818"/>
      <w:bookmarkStart w:id="704" w:name="_Toc164229391"/>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5"/>
          <w:rFonts w:hint="eastAsia" w:ascii="宋体" w:hAnsi="宋体" w:cs="宋体"/>
          <w:color w:val="auto"/>
          <w:sz w:val="24"/>
          <w:highlight w:val="none"/>
        </w:rPr>
        <w:t>http://gk</w:t>
      </w:r>
      <w:bookmarkStart w:id="705" w:name="_Hlt100654014"/>
      <w:r>
        <w:rPr>
          <w:rStyle w:val="55"/>
          <w:rFonts w:hint="eastAsia" w:ascii="宋体" w:hAnsi="宋体" w:cs="宋体"/>
          <w:color w:val="auto"/>
          <w:sz w:val="24"/>
          <w:highlight w:val="none"/>
        </w:rPr>
        <w:t>s</w:t>
      </w:r>
      <w:bookmarkEnd w:id="705"/>
      <w:r>
        <w:rPr>
          <w:rStyle w:val="55"/>
          <w:rFonts w:hint="eastAsia" w:ascii="宋体" w:hAnsi="宋体" w:cs="宋体"/>
          <w:color w:val="auto"/>
          <w:sz w:val="24"/>
          <w:highlight w:val="none"/>
        </w:rPr>
        <w:t>.m</w:t>
      </w:r>
      <w:bookmarkStart w:id="706" w:name="_Hlt100653994"/>
      <w:bookmarkStart w:id="707" w:name="_Hlt100653993"/>
      <w:r>
        <w:rPr>
          <w:rStyle w:val="55"/>
          <w:rFonts w:hint="eastAsia" w:ascii="宋体" w:hAnsi="宋体" w:cs="宋体"/>
          <w:color w:val="auto"/>
          <w:sz w:val="24"/>
          <w:highlight w:val="none"/>
        </w:rPr>
        <w:t>o</w:t>
      </w:r>
      <w:bookmarkEnd w:id="706"/>
      <w:bookmarkEnd w:id="707"/>
      <w:r>
        <w:rPr>
          <w:rStyle w:val="55"/>
          <w:rFonts w:hint="eastAsia" w:ascii="宋体" w:hAnsi="宋体" w:cs="宋体"/>
          <w:color w:val="auto"/>
          <w:sz w:val="24"/>
          <w:highlight w:val="none"/>
        </w:rPr>
        <w:t>f.gov.cn/ztztz/zhengfucaigouguanli/201802/t20180201_2804589.htm</w:t>
      </w:r>
      <w:r>
        <w:rPr>
          <w:rStyle w:val="55"/>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226965827"/>
      <w:bookmarkStart w:id="709" w:name="_Toc353825544"/>
      <w:bookmarkStart w:id="710" w:name="_Toc305158822"/>
      <w:bookmarkStart w:id="711" w:name="_Toc142311056"/>
      <w:bookmarkStart w:id="712" w:name="_Toc226337250"/>
      <w:bookmarkStart w:id="713" w:name="_Toc265228392"/>
      <w:bookmarkStart w:id="714" w:name="_Toc305158896"/>
      <w:bookmarkStart w:id="715" w:name="_Toc150774759"/>
      <w:bookmarkStart w:id="716" w:name="_Toc353873934"/>
      <w:bookmarkStart w:id="717" w:name="_Toc127151554"/>
      <w:bookmarkStart w:id="718" w:name="_Toc353873664"/>
      <w:bookmarkStart w:id="719" w:name="_Toc264969244"/>
      <w:bookmarkStart w:id="720" w:name="_Toc150480792"/>
      <w:bookmarkStart w:id="721" w:name="_Toc4607"/>
      <w:bookmarkStart w:id="722" w:name="_Toc99301421"/>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7"/>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6D6F1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46" w:type="dxa"/>
            <w:noWrap w:val="0"/>
            <w:vAlign w:val="center"/>
          </w:tcPr>
          <w:p w14:paraId="4E283025">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sz w:val="24"/>
                <w:highlight w:val="none"/>
              </w:rPr>
            </w:pPr>
            <w:bookmarkStart w:id="726" w:name="_Toc353825550"/>
            <w:bookmarkStart w:id="727" w:name="_Toc127161490"/>
            <w:bookmarkStart w:id="728" w:name="_Toc226965858"/>
            <w:bookmarkStart w:id="729" w:name="_Toc127151779"/>
            <w:bookmarkStart w:id="730" w:name="_Toc353873940"/>
            <w:r>
              <w:rPr>
                <w:rFonts w:hint="eastAsia" w:ascii="宋体" w:hAnsi="宋体" w:eastAsia="宋体" w:cs="宋体"/>
                <w:color w:val="auto"/>
                <w:sz w:val="24"/>
                <w:highlight w:val="none"/>
              </w:rPr>
              <w:t>2</w:t>
            </w:r>
          </w:p>
        </w:tc>
        <w:tc>
          <w:tcPr>
            <w:tcW w:w="1982" w:type="dxa"/>
            <w:noWrap w:val="0"/>
            <w:vAlign w:val="center"/>
          </w:tcPr>
          <w:p w14:paraId="134E1DB2">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本项目的特定资格要求</w:t>
            </w:r>
          </w:p>
        </w:tc>
        <w:tc>
          <w:tcPr>
            <w:tcW w:w="4822" w:type="dxa"/>
            <w:noWrap w:val="0"/>
            <w:vAlign w:val="center"/>
          </w:tcPr>
          <w:p w14:paraId="42382468">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见第一章《采购邀请》</w:t>
            </w:r>
          </w:p>
        </w:tc>
        <w:tc>
          <w:tcPr>
            <w:tcW w:w="1638" w:type="dxa"/>
            <w:noWrap w:val="0"/>
            <w:vAlign w:val="center"/>
          </w:tcPr>
          <w:p w14:paraId="054CF5A7">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eastAsia="宋体" w:cs="宋体"/>
                <w:color w:val="auto"/>
                <w:sz w:val="24"/>
                <w:highlight w:val="none"/>
              </w:rPr>
            </w:pPr>
          </w:p>
        </w:tc>
      </w:tr>
      <w:tr w14:paraId="56A7E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46" w:type="dxa"/>
            <w:noWrap w:val="0"/>
            <w:vAlign w:val="center"/>
          </w:tcPr>
          <w:p w14:paraId="1C715588">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982" w:type="dxa"/>
            <w:noWrap w:val="0"/>
            <w:vAlign w:val="center"/>
          </w:tcPr>
          <w:p w14:paraId="3ACFAA47">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其他特定资格要求</w:t>
            </w:r>
          </w:p>
        </w:tc>
        <w:tc>
          <w:tcPr>
            <w:tcW w:w="4822" w:type="dxa"/>
            <w:noWrap w:val="0"/>
            <w:vAlign w:val="center"/>
          </w:tcPr>
          <w:p w14:paraId="05B109DC">
            <w:pPr>
              <w:tabs>
                <w:tab w:val="left" w:pos="1080"/>
              </w:tabs>
              <w:snapToGrid w:val="0"/>
              <w:rPr>
                <w:rFonts w:hint="eastAsia" w:ascii="宋体" w:hAnsi="宋体" w:eastAsia="宋体" w:cs="宋体"/>
                <w:b/>
                <w:color w:val="auto"/>
                <w:sz w:val="24"/>
                <w:highlight w:val="none"/>
              </w:rPr>
            </w:pPr>
            <w:r>
              <w:rPr>
                <w:rFonts w:hint="eastAsia" w:ascii="宋体" w:hAnsi="宋体" w:cs="宋体"/>
                <w:color w:val="auto"/>
                <w:sz w:val="24"/>
                <w:highlight w:val="none"/>
              </w:rPr>
              <w:t>见第一章《采购邀请》</w:t>
            </w:r>
          </w:p>
        </w:tc>
        <w:tc>
          <w:tcPr>
            <w:tcW w:w="1638" w:type="dxa"/>
            <w:noWrap w:val="0"/>
            <w:vAlign w:val="center"/>
          </w:tcPr>
          <w:p w14:paraId="362A975B">
            <w:pPr>
              <w:tabs>
                <w:tab w:val="left" w:pos="1080"/>
              </w:tabs>
              <w:snapToGrid w:val="0"/>
              <w:rPr>
                <w:rFonts w:hint="eastAsia" w:ascii="宋体" w:hAnsi="宋体" w:eastAsia="宋体" w:cs="宋体"/>
                <w:color w:val="auto"/>
                <w:sz w:val="24"/>
                <w:highlight w:val="none"/>
              </w:rPr>
            </w:pPr>
            <w:r>
              <w:rPr>
                <w:rFonts w:ascii="Times New Roman" w:hAnsi="Times New Roman" w:eastAsia="宋体" w:cs="Times New Roman"/>
                <w:color w:val="auto"/>
                <w:sz w:val="24"/>
                <w:highlight w:val="none"/>
              </w:rPr>
              <w:t>提供</w:t>
            </w:r>
            <w:r>
              <w:rPr>
                <w:rFonts w:hint="eastAsia" w:ascii="Times New Roman" w:hAnsi="Times New Roman" w:eastAsia="宋体" w:cs="Times New Roman"/>
                <w:color w:val="auto"/>
                <w:sz w:val="24"/>
                <w:highlight w:val="none"/>
                <w:lang w:val="en-US" w:eastAsia="zh-CN"/>
              </w:rPr>
              <w:t>证书</w:t>
            </w:r>
            <w:r>
              <w:rPr>
                <w:rFonts w:ascii="Times New Roman" w:hAnsi="Times New Roman" w:eastAsia="宋体" w:cs="Times New Roman"/>
                <w:color w:val="auto"/>
                <w:sz w:val="24"/>
                <w:highlight w:val="none"/>
              </w:rPr>
              <w:t>的电子件或电子证照</w:t>
            </w: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bl>
    <w:p w14:paraId="3CFE9F90">
      <w:pPr>
        <w:widowControl/>
        <w:jc w:val="center"/>
        <w:rPr>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8940"/>
      <w:bookmarkStart w:id="732" w:name="_Toc99301423"/>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226337237"/>
      <w:bookmarkStart w:id="735" w:name="_Toc164351635"/>
      <w:bookmarkStart w:id="736" w:name="_Toc164608655"/>
      <w:bookmarkStart w:id="737" w:name="_Toc151193929"/>
      <w:bookmarkStart w:id="738" w:name="_Toc226309785"/>
      <w:bookmarkStart w:id="739" w:name="_Toc264969231"/>
      <w:bookmarkStart w:id="740" w:name="_Toc164229382"/>
      <w:bookmarkStart w:id="741" w:name="_Toc127151541"/>
      <w:bookmarkStart w:id="742" w:name="_Toc305158809"/>
      <w:bookmarkStart w:id="743" w:name="_Toc226965731"/>
      <w:bookmarkStart w:id="744" w:name="_Toc150480779"/>
      <w:bookmarkStart w:id="745" w:name="_Toc265228379"/>
      <w:bookmarkStart w:id="746" w:name="_Toc127151742"/>
      <w:bookmarkStart w:id="747" w:name="_Toc142311043"/>
      <w:bookmarkStart w:id="748" w:name="_Toc149720834"/>
      <w:bookmarkStart w:id="749" w:name="_Toc150774746"/>
      <w:bookmarkStart w:id="750" w:name="_Toc164229236"/>
      <w:bookmarkStart w:id="751" w:name="_Toc151193639"/>
      <w:bookmarkStart w:id="752" w:name="_Toc150774641"/>
      <w:bookmarkStart w:id="753" w:name="_Toc164608810"/>
      <w:bookmarkStart w:id="754" w:name="_Toc195842906"/>
      <w:bookmarkStart w:id="755" w:name="_Toc226965814"/>
      <w:bookmarkStart w:id="756" w:name="_Toc151193855"/>
      <w:bookmarkStart w:id="757" w:name="_Toc150509292"/>
      <w:bookmarkStart w:id="758" w:name="_Toc151193711"/>
      <w:bookmarkStart w:id="759" w:name="_Toc151193783"/>
      <w:bookmarkStart w:id="760" w:name="_Toc151190168"/>
      <w:bookmarkStart w:id="761" w:name="_Toc305158883"/>
      <w:bookmarkStart w:id="762" w:name="_Toc127161455"/>
      <w:bookmarkStart w:id="763" w:name="_Toc353873941"/>
      <w:bookmarkStart w:id="764" w:name="_Toc353825551"/>
      <w:bookmarkStart w:id="765" w:name="_Toc226965828"/>
      <w:bookmarkStart w:id="766" w:name="_Toc142311057"/>
      <w:bookmarkStart w:id="767" w:name="_Toc353825545"/>
      <w:bookmarkStart w:id="768" w:name="_Toc353873935"/>
      <w:bookmarkStart w:id="769" w:name="_Toc150774760"/>
      <w:bookmarkStart w:id="770" w:name="_Toc264969245"/>
      <w:bookmarkStart w:id="771" w:name="_Toc265228393"/>
      <w:bookmarkStart w:id="772" w:name="_Toc226337251"/>
      <w:bookmarkStart w:id="773" w:name="_Toc305158823"/>
      <w:bookmarkStart w:id="774" w:name="_Toc305158897"/>
      <w:bookmarkStart w:id="775" w:name="_Toc195842920"/>
      <w:bookmarkStart w:id="776" w:name="_Toc150480793"/>
      <w:bookmarkStart w:id="777" w:name="_Toc353873665"/>
      <w:bookmarkStart w:id="778" w:name="_Toc127151555"/>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4BCA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13BA65A2">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8</w:t>
            </w:r>
          </w:p>
        </w:tc>
        <w:tc>
          <w:tcPr>
            <w:tcW w:w="1813" w:type="dxa"/>
            <w:shd w:val="clear" w:color="auto" w:fill="auto"/>
            <w:vAlign w:val="center"/>
          </w:tcPr>
          <w:p w14:paraId="13E28E49">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shd w:val="clear" w:color="auto" w:fill="auto"/>
            <w:vAlign w:val="center"/>
          </w:tcPr>
          <w:p w14:paraId="5FAB1972">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3E93E629">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9</w:t>
            </w:r>
          </w:p>
        </w:tc>
        <w:tc>
          <w:tcPr>
            <w:tcW w:w="1813" w:type="dxa"/>
            <w:shd w:val="clear" w:color="auto" w:fill="auto"/>
            <w:vAlign w:val="center"/>
          </w:tcPr>
          <w:p w14:paraId="4272F213">
            <w:pPr>
              <w:widowControl/>
              <w:jc w:val="left"/>
              <w:rPr>
                <w:rFonts w:hint="default"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报价合理性</w:t>
            </w:r>
          </w:p>
        </w:tc>
        <w:tc>
          <w:tcPr>
            <w:tcW w:w="6725" w:type="dxa"/>
            <w:shd w:val="clear" w:color="auto" w:fill="auto"/>
            <w:vAlign w:val="center"/>
          </w:tcPr>
          <w:p w14:paraId="074519BF">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2FC7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44202ADB">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10</w:t>
            </w:r>
          </w:p>
        </w:tc>
        <w:tc>
          <w:tcPr>
            <w:tcW w:w="1813" w:type="dxa"/>
            <w:shd w:val="clear" w:color="auto" w:fill="auto"/>
            <w:vAlign w:val="center"/>
          </w:tcPr>
          <w:p w14:paraId="22CBD9FB">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公平竞争</w:t>
            </w:r>
          </w:p>
        </w:tc>
        <w:tc>
          <w:tcPr>
            <w:tcW w:w="6725" w:type="dxa"/>
            <w:shd w:val="clear" w:color="auto" w:fill="auto"/>
            <w:vAlign w:val="center"/>
          </w:tcPr>
          <w:p w14:paraId="74B3D98D">
            <w:pPr>
              <w:widowControl/>
              <w:jc w:val="left"/>
              <w:rPr>
                <w:rFonts w:ascii="Times New Roman" w:hAnsi="Times New Roman" w:eastAsia="宋体" w:cs="Times New Roman"/>
                <w:color w:val="auto"/>
                <w:kern w:val="0"/>
                <w:sz w:val="24"/>
                <w:szCs w:val="24"/>
                <w:highlight w:val="none"/>
                <w:lang w:val="en-US" w:eastAsia="zh-CN" w:bidi="ar-SA"/>
              </w:rPr>
            </w:pPr>
            <w:r>
              <w:rPr>
                <w:color w:val="auto"/>
                <w:sz w:val="24"/>
                <w:highlight w:val="none"/>
              </w:rPr>
              <w:t>投标人遵循公平竞争的原则，不存在恶意串通，妨碍其他投标人的竞争行为，不存在损害采购人或者其他投标人的合法权益情形的；</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2D4D0E73">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11</w:t>
            </w:r>
          </w:p>
        </w:tc>
        <w:tc>
          <w:tcPr>
            <w:tcW w:w="1813" w:type="dxa"/>
            <w:shd w:val="clear" w:color="auto" w:fill="auto"/>
            <w:vAlign w:val="center"/>
          </w:tcPr>
          <w:p w14:paraId="43A2C364">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串通投标</w:t>
            </w:r>
          </w:p>
        </w:tc>
        <w:tc>
          <w:tcPr>
            <w:tcW w:w="6725" w:type="dxa"/>
            <w:shd w:val="clear" w:color="auto" w:fill="auto"/>
            <w:vAlign w:val="center"/>
          </w:tcPr>
          <w:p w14:paraId="456ADB7E">
            <w:pPr>
              <w:widowControl/>
              <w:jc w:val="left"/>
              <w:rPr>
                <w:rFonts w:ascii="Times New Roman" w:hAnsi="Times New Roman" w:eastAsia="宋体" w:cs="Times New Roman"/>
                <w:color w:val="auto"/>
                <w:kern w:val="0"/>
                <w:sz w:val="24"/>
                <w:szCs w:val="24"/>
                <w:highlight w:val="none"/>
                <w:lang w:val="en-US" w:eastAsia="zh-CN" w:bidi="ar-SA"/>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14B494B3">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12</w:t>
            </w:r>
          </w:p>
        </w:tc>
        <w:tc>
          <w:tcPr>
            <w:tcW w:w="1813" w:type="dxa"/>
            <w:shd w:val="clear" w:color="auto" w:fill="auto"/>
            <w:vAlign w:val="center"/>
          </w:tcPr>
          <w:p w14:paraId="425DBEC3">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附加条件</w:t>
            </w:r>
          </w:p>
        </w:tc>
        <w:tc>
          <w:tcPr>
            <w:tcW w:w="6725" w:type="dxa"/>
            <w:shd w:val="clear" w:color="auto" w:fill="auto"/>
            <w:vAlign w:val="center"/>
          </w:tcPr>
          <w:p w14:paraId="3EB8FB65">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4710FE1C">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13</w:t>
            </w:r>
          </w:p>
        </w:tc>
        <w:tc>
          <w:tcPr>
            <w:tcW w:w="1813" w:type="dxa"/>
            <w:shd w:val="clear" w:color="auto" w:fill="auto"/>
            <w:vAlign w:val="center"/>
          </w:tcPr>
          <w:p w14:paraId="629AAA13">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其他无效情形</w:t>
            </w:r>
          </w:p>
        </w:tc>
        <w:tc>
          <w:tcPr>
            <w:tcW w:w="6725" w:type="dxa"/>
            <w:shd w:val="clear" w:color="auto" w:fill="auto"/>
            <w:vAlign w:val="center"/>
          </w:tcPr>
          <w:p w14:paraId="7AC04DA5">
            <w:pPr>
              <w:widowControl/>
              <w:jc w:val="left"/>
              <w:rPr>
                <w:rFonts w:ascii="Times New Roman" w:hAnsi="Times New Roman" w:eastAsia="宋体" w:cs="Times New Roman"/>
                <w:color w:val="auto"/>
                <w:kern w:val="0"/>
                <w:sz w:val="24"/>
                <w:szCs w:val="24"/>
                <w:highlight w:val="none"/>
                <w:lang w:val="en-US" w:eastAsia="zh-CN" w:bidi="ar-SA"/>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6821C407">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实施政府采购异常低价审查的有关要求：具体按照</w:t>
      </w:r>
      <w:r>
        <w:rPr>
          <w:rFonts w:hint="eastAsia" w:ascii="宋体" w:hAnsi="宋体" w:cs="宋体"/>
          <w:color w:val="auto"/>
          <w:sz w:val="24"/>
          <w:highlight w:val="none"/>
          <w:lang w:eastAsia="zh-CN"/>
        </w:rPr>
        <w:t>财库〔2026〕2号</w:t>
      </w:r>
      <w:r>
        <w:rPr>
          <w:rFonts w:hint="eastAsia" w:ascii="宋体" w:hAnsi="宋体" w:eastAsia="宋体" w:cs="宋体"/>
          <w:color w:val="auto"/>
          <w:sz w:val="24"/>
          <w:highlight w:val="none"/>
        </w:rPr>
        <w:t>《关于推动解决政府采购异常低价问题的通知》要求</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w:t>
      </w:r>
    </w:p>
    <w:p w14:paraId="0097EE06">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（一）政府采购评审中出现下列情形之一的，评审委员会应当启动异常低价投标（响应）审查程序：</w:t>
      </w:r>
    </w:p>
    <w:p w14:paraId="0FA7FA66">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30E7E7E3">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0A351CAB">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3.投标（响应）报价低于采购项目最高限价45%的，即投标（响应）报价&lt;采购项目最高限价×45%；</w:t>
      </w:r>
    </w:p>
    <w:p w14:paraId="4D759EFC">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C4F837C">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A74EBF7">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768E72">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01BB1C4B">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eastAsia="宋体" w:cs="宋体"/>
          <w:color w:val="auto"/>
          <w:sz w:val="24"/>
          <w:highlight w:val="none"/>
          <w:lang w:val="en-US" w:eastAsia="zh-CN"/>
        </w:rPr>
        <w:t>只</w:t>
      </w:r>
      <w:r>
        <w:rPr>
          <w:rFonts w:hint="eastAsia" w:ascii="宋体" w:hAnsi="宋体" w:eastAsia="宋体" w:cs="宋体"/>
          <w:color w:val="auto"/>
          <w:sz w:val="24"/>
          <w:highlight w:val="none"/>
        </w:rPr>
        <w:t>有符合第二章《投标人须知》5.2条规定情形的，可以享受中小企业扶持政策，用扣除后的价格参加评审；否则，评标时价格不予扣除。</w:t>
      </w:r>
    </w:p>
    <w:p w14:paraId="2DCBBE13">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对于未预留份额专门面向中小企业采购的采购项目，对</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报价给予</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%的扣除，用扣除后的价格参加评审。</w:t>
      </w:r>
    </w:p>
    <w:p w14:paraId="2D8463AA">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ascii="宋体" w:hAnsi="宋体" w:eastAsia="宋体" w:cs="宋体"/>
          <w:color w:val="auto"/>
          <w:sz w:val="24"/>
          <w:szCs w:val="24"/>
          <w:highlight w:val="none"/>
        </w:rPr>
        <w:t>组成联合体的小微企业与联合体内其他企业之间存在直接控股、管理关系的，不享受价格扣除优惠政策。</w:t>
      </w:r>
    </w:p>
    <w:p w14:paraId="4CBD5FE8">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14:paraId="5639E599">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中小企业参加政府采购活动，应当按照招标文件给定的格式出具《中小企业声明函》，否则不得享受相关中小企业扶持政策。</w:t>
      </w:r>
    </w:p>
    <w:p w14:paraId="063A743E">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监狱企业提供了由省级以上监狱管理局（常州市含教育矫治局）、戒毒管理局（含新疆生产建设兵团）出具的属于监狱企业的证明文件的，视同小微企业。</w:t>
      </w:r>
    </w:p>
    <w:p w14:paraId="01AC6476">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残疾人福利性单位按招标文件要求提供了《残疾人福利性单位声明函》（见附件）的，视同小微企业。</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若投标人同时属于小型或微型企业、监狱企业、残疾人福利性单位中的两种及以上，将不重复享受小微企业价格扣减的优惠政策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151193716"/>
      <w:bookmarkStart w:id="781" w:name="_Toc151193644"/>
      <w:bookmarkStart w:id="782" w:name="_Toc164229387"/>
      <w:bookmarkStart w:id="783" w:name="_Toc151193934"/>
      <w:bookmarkStart w:id="784" w:name="_Toc226965736"/>
      <w:bookmarkStart w:id="785" w:name="_Toc149720839"/>
      <w:bookmarkStart w:id="786" w:name="_Toc150480784"/>
      <w:bookmarkStart w:id="787" w:name="_Toc226337242"/>
      <w:bookmarkStart w:id="788" w:name="_Toc150774751"/>
      <w:bookmarkStart w:id="789" w:name="_Toc226965819"/>
      <w:bookmarkStart w:id="790" w:name="_Toc164351640"/>
      <w:bookmarkStart w:id="791" w:name="_Toc226309790"/>
      <w:bookmarkStart w:id="792" w:name="_Toc151190173"/>
      <w:bookmarkStart w:id="793" w:name="_Toc164608815"/>
      <w:bookmarkStart w:id="794" w:name="_Toc305158888"/>
      <w:bookmarkStart w:id="795" w:name="_Toc305158814"/>
      <w:bookmarkStart w:id="796" w:name="_Toc150509297"/>
      <w:bookmarkStart w:id="797" w:name="_Toc164608660"/>
      <w:bookmarkStart w:id="798" w:name="_Toc520356170"/>
      <w:bookmarkStart w:id="799" w:name="_Toc151193860"/>
      <w:bookmarkStart w:id="800" w:name="_Toc264969236"/>
      <w:bookmarkStart w:id="801" w:name="_Toc142311048"/>
      <w:bookmarkStart w:id="802" w:name="_Toc150774646"/>
      <w:bookmarkStart w:id="803" w:name="_Toc127161460"/>
      <w:bookmarkStart w:id="804" w:name="_Toc265228384"/>
      <w:bookmarkStart w:id="805" w:name="_Toc127151747"/>
      <w:bookmarkStart w:id="806" w:name="_Toc195842911"/>
      <w:bookmarkStart w:id="807" w:name="_Toc127151546"/>
      <w:bookmarkStart w:id="808" w:name="_Toc164229241"/>
      <w:bookmarkStart w:id="809" w:name="_Toc151193788"/>
      <w:bookmarkStart w:id="810" w:name="_Ref467307010"/>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47"/>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65"/>
        <w:gridCol w:w="611"/>
        <w:gridCol w:w="603"/>
        <w:gridCol w:w="6624"/>
      </w:tblGrid>
      <w:tr w14:paraId="14E1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3185B9C3">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368" w:type="pct"/>
            <w:noWrap w:val="0"/>
            <w:vAlign w:val="center"/>
          </w:tcPr>
          <w:p w14:paraId="3F98F95F">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评审因素</w:t>
            </w:r>
          </w:p>
        </w:tc>
        <w:tc>
          <w:tcPr>
            <w:tcW w:w="363" w:type="pct"/>
            <w:noWrap w:val="0"/>
            <w:vAlign w:val="center"/>
          </w:tcPr>
          <w:p w14:paraId="23540C90">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分值</w:t>
            </w:r>
          </w:p>
        </w:tc>
        <w:tc>
          <w:tcPr>
            <w:tcW w:w="3987" w:type="pct"/>
            <w:noWrap w:val="0"/>
            <w:vAlign w:val="center"/>
          </w:tcPr>
          <w:p w14:paraId="1A9F56B3">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评分标准</w:t>
            </w:r>
          </w:p>
        </w:tc>
      </w:tr>
      <w:tr w14:paraId="3650F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3AC0FDDC">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一、</w:t>
            </w:r>
            <w:r>
              <w:rPr>
                <w:rFonts w:hint="eastAsia" w:ascii="宋体" w:hAnsi="宋体" w:cs="宋体"/>
                <w:b/>
                <w:color w:val="auto"/>
                <w:kern w:val="0"/>
                <w:sz w:val="24"/>
                <w:highlight w:val="none"/>
                <w:lang w:val="en-US" w:eastAsia="zh-CN"/>
              </w:rPr>
              <w:t>投标</w:t>
            </w:r>
            <w:r>
              <w:rPr>
                <w:rFonts w:hint="eastAsia" w:ascii="宋体" w:hAnsi="宋体" w:cs="宋体"/>
                <w:b/>
                <w:color w:val="auto"/>
                <w:kern w:val="0"/>
                <w:sz w:val="24"/>
                <w:highlight w:val="none"/>
              </w:rPr>
              <w:t>报价（</w:t>
            </w:r>
            <w:r>
              <w:rPr>
                <w:rFonts w:hint="eastAsia" w:ascii="宋体" w:hAnsi="宋体" w:cs="宋体"/>
                <w:b/>
                <w:color w:val="auto"/>
                <w:kern w:val="0"/>
                <w:sz w:val="24"/>
                <w:highlight w:val="none"/>
                <w:lang w:val="en-US" w:eastAsia="zh-CN"/>
              </w:rPr>
              <w:t>20</w:t>
            </w:r>
            <w:r>
              <w:rPr>
                <w:rFonts w:hint="eastAsia" w:ascii="宋体" w:hAnsi="宋体" w:cs="宋体"/>
                <w:b/>
                <w:color w:val="auto"/>
                <w:kern w:val="0"/>
                <w:sz w:val="24"/>
                <w:highlight w:val="none"/>
              </w:rPr>
              <w:t>分）</w:t>
            </w:r>
          </w:p>
        </w:tc>
      </w:tr>
      <w:tr w14:paraId="631F2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0D843464">
            <w:pPr>
              <w:widowControl/>
              <w:tabs>
                <w:tab w:val="left" w:pos="1200"/>
              </w:tabs>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2343279B">
            <w:pPr>
              <w:widowControl/>
              <w:tabs>
                <w:tab w:val="left" w:pos="1200"/>
              </w:tabs>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价格</w:t>
            </w:r>
          </w:p>
        </w:tc>
        <w:tc>
          <w:tcPr>
            <w:tcW w:w="363" w:type="pct"/>
            <w:noWrap w:val="0"/>
            <w:vAlign w:val="center"/>
          </w:tcPr>
          <w:p w14:paraId="52F7A131">
            <w:pPr>
              <w:widowControl/>
              <w:tabs>
                <w:tab w:val="left" w:pos="1200"/>
              </w:tabs>
              <w:autoSpaceDE w:val="0"/>
              <w:autoSpaceDN w:val="0"/>
              <w:spacing w:line="440" w:lineRule="exact"/>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en-US"/>
              </w:rPr>
              <w:t>0</w:t>
            </w:r>
          </w:p>
        </w:tc>
        <w:tc>
          <w:tcPr>
            <w:tcW w:w="3987" w:type="pct"/>
            <w:noWrap w:val="0"/>
            <w:vAlign w:val="center"/>
          </w:tcPr>
          <w:p w14:paraId="5909CAD9">
            <w:pPr>
              <w:autoSpaceDE w:val="0"/>
              <w:autoSpaceDN w:val="0"/>
              <w:spacing w:line="44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满足招标文件要求且报价最低的报价为评标基准价，其价格分为满分。其他投标人的价格分统一按照下列公式计算：价格分得分＝（评标基准价/报价）×分值。</w:t>
            </w:r>
          </w:p>
          <w:p w14:paraId="017F2F48">
            <w:pPr>
              <w:autoSpaceDE w:val="0"/>
              <w:autoSpaceDN w:val="0"/>
              <w:spacing w:line="440" w:lineRule="exact"/>
              <w:rPr>
                <w:rFonts w:hint="eastAsia" w:ascii="宋体" w:hAnsi="宋体" w:cs="宋体"/>
                <w:color w:val="auto"/>
                <w:kern w:val="0"/>
                <w:sz w:val="24"/>
                <w:highlight w:val="none"/>
              </w:rPr>
            </w:pPr>
            <w:r>
              <w:rPr>
                <w:rFonts w:hint="eastAsia" w:ascii="宋体" w:hAnsi="宋体" w:eastAsia="宋体" w:cs="宋体"/>
                <w:b/>
                <w:bCs/>
                <w:color w:val="auto"/>
                <w:sz w:val="24"/>
                <w:szCs w:val="24"/>
                <w:highlight w:val="none"/>
                <w:lang w:val="en-US" w:eastAsia="zh-CN"/>
              </w:rPr>
              <w:t>注：此处投标报价指经过报价修正，及因落实政府采购政策进行价格调整后的报价。</w:t>
            </w:r>
          </w:p>
        </w:tc>
      </w:tr>
      <w:tr w14:paraId="76418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0896CEAD">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二、客观分（</w:t>
            </w:r>
            <w:r>
              <w:rPr>
                <w:rFonts w:hint="eastAsia" w:ascii="宋体" w:hAnsi="宋体" w:cs="宋体"/>
                <w:b/>
                <w:color w:val="auto"/>
                <w:kern w:val="0"/>
                <w:sz w:val="24"/>
                <w:highlight w:val="none"/>
                <w:lang w:val="en-US" w:eastAsia="zh-CN"/>
              </w:rPr>
              <w:t>30</w:t>
            </w:r>
            <w:r>
              <w:rPr>
                <w:rFonts w:hint="eastAsia" w:ascii="宋体" w:hAnsi="宋体" w:cs="宋体"/>
                <w:b/>
                <w:color w:val="auto"/>
                <w:kern w:val="0"/>
                <w:sz w:val="24"/>
                <w:highlight w:val="none"/>
              </w:rPr>
              <w:t>分）</w:t>
            </w:r>
          </w:p>
        </w:tc>
      </w:tr>
      <w:tr w14:paraId="3D84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64D60106">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6CE8E844">
            <w:pPr>
              <w:spacing w:line="360" w:lineRule="auto"/>
              <w:jc w:val="center"/>
              <w:rPr>
                <w:rFonts w:hint="eastAsia" w:ascii="宋体" w:hAnsi="宋体" w:cs="宋体"/>
                <w:color w:val="auto"/>
                <w:kern w:val="2"/>
                <w:sz w:val="24"/>
                <w:szCs w:val="24"/>
                <w:highlight w:val="none"/>
                <w:lang w:val="en-US" w:eastAsia="zh-CN" w:bidi="ar-SA"/>
              </w:rPr>
            </w:pPr>
            <w:r>
              <w:rPr>
                <w:rFonts w:hint="eastAsia" w:ascii="宋体" w:hAnsi="宋体"/>
                <w:color w:val="auto"/>
                <w:spacing w:val="2"/>
                <w:sz w:val="24"/>
                <w:szCs w:val="24"/>
                <w:highlight w:val="none"/>
              </w:rPr>
              <w:t>业绩</w:t>
            </w:r>
          </w:p>
        </w:tc>
        <w:tc>
          <w:tcPr>
            <w:tcW w:w="363" w:type="pct"/>
            <w:noWrap w:val="0"/>
            <w:vAlign w:val="center"/>
          </w:tcPr>
          <w:p w14:paraId="12263EA3">
            <w:pPr>
              <w:tabs>
                <w:tab w:val="left" w:pos="426"/>
              </w:tabs>
              <w:autoSpaceDE w:val="0"/>
              <w:autoSpaceDN w:val="0"/>
              <w:adjustRightInd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20</w:t>
            </w:r>
          </w:p>
        </w:tc>
        <w:tc>
          <w:tcPr>
            <w:tcW w:w="3987" w:type="pct"/>
            <w:noWrap w:val="0"/>
            <w:vAlign w:val="center"/>
          </w:tcPr>
          <w:p w14:paraId="1129426A">
            <w:pPr>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投标人</w:t>
            </w:r>
            <w:r>
              <w:rPr>
                <w:rFonts w:hint="eastAsia" w:ascii="宋体" w:hAnsi="宋体" w:eastAsia="宋体" w:cs="宋体"/>
                <w:color w:val="auto"/>
                <w:kern w:val="0"/>
                <w:sz w:val="24"/>
                <w:highlight w:val="none"/>
                <w:lang w:val="en-US" w:eastAsia="zh-CN"/>
              </w:rPr>
              <w:t>自202</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年1月1日以来</w:t>
            </w:r>
            <w:r>
              <w:rPr>
                <w:rFonts w:hint="eastAsia" w:ascii="宋体" w:hAnsi="宋体" w:eastAsia="宋体" w:cs="宋体"/>
                <w:color w:val="auto"/>
                <w:kern w:val="0"/>
                <w:sz w:val="24"/>
                <w:highlight w:val="none"/>
                <w:lang w:val="zh-CN"/>
              </w:rPr>
              <w:t>（时间以合同签订时间为准）承担过类似项目的，</w:t>
            </w:r>
            <w:r>
              <w:rPr>
                <w:rFonts w:hint="eastAsia" w:ascii="宋体" w:hAnsi="宋体" w:eastAsia="宋体" w:cs="宋体"/>
                <w:color w:val="auto"/>
                <w:kern w:val="0"/>
                <w:sz w:val="24"/>
                <w:highlight w:val="none"/>
                <w:lang w:val="en-US" w:eastAsia="zh-CN"/>
              </w:rPr>
              <w:t>每提供一份合同</w:t>
            </w:r>
            <w:r>
              <w:rPr>
                <w:rFonts w:hint="eastAsia" w:ascii="宋体" w:hAnsi="宋体" w:eastAsia="宋体" w:cs="宋体"/>
                <w:color w:val="auto"/>
                <w:kern w:val="0"/>
                <w:sz w:val="24"/>
                <w:highlight w:val="none"/>
                <w:lang w:val="zh-CN"/>
              </w:rPr>
              <w:t>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分,最高</w:t>
            </w:r>
            <w:r>
              <w:rPr>
                <w:rFonts w:hint="eastAsia" w:ascii="宋体" w:hAnsi="宋体" w:eastAsia="宋体" w:cs="宋体"/>
                <w:color w:val="auto"/>
                <w:kern w:val="0"/>
                <w:sz w:val="24"/>
                <w:highlight w:val="none"/>
                <w:lang w:val="en-US" w:eastAsia="zh-CN"/>
              </w:rPr>
              <w:t>得</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CN"/>
              </w:rPr>
              <w:t>分。</w:t>
            </w:r>
          </w:p>
          <w:p w14:paraId="63884805">
            <w:pPr>
              <w:adjustRightInd w:val="0"/>
              <w:snapToGrid w:val="0"/>
              <w:spacing w:line="360" w:lineRule="exact"/>
              <w:rPr>
                <w:rFonts w:hint="eastAsia" w:ascii="宋体" w:hAnsi="宋体" w:cs="宋体"/>
                <w:color w:val="auto"/>
                <w:kern w:val="0"/>
                <w:sz w:val="24"/>
                <w:szCs w:val="24"/>
                <w:highlight w:val="none"/>
                <w:lang w:val="zh-CN" w:eastAsia="zh-CN" w:bidi="ar-SA"/>
              </w:rPr>
            </w:pPr>
            <w:r>
              <w:rPr>
                <w:rFonts w:hint="eastAsia" w:ascii="宋体" w:hAnsi="宋体" w:eastAsia="宋体" w:cs="宋体"/>
                <w:b/>
                <w:bCs/>
                <w:color w:val="auto"/>
                <w:kern w:val="0"/>
                <w:sz w:val="24"/>
                <w:highlight w:val="none"/>
                <w:lang w:val="zh-CN"/>
              </w:rPr>
              <w:t>注：</w:t>
            </w:r>
            <w:r>
              <w:rPr>
                <w:rFonts w:hint="eastAsia" w:ascii="宋体" w:hAnsi="宋体" w:eastAsia="宋体" w:cs="宋体"/>
                <w:b/>
                <w:bCs/>
                <w:color w:val="auto"/>
                <w:kern w:val="0"/>
                <w:sz w:val="24"/>
                <w:highlight w:val="none"/>
                <w:lang w:val="en-US" w:eastAsia="zh-CN"/>
              </w:rPr>
              <w:t>投标文件中</w:t>
            </w:r>
            <w:r>
              <w:rPr>
                <w:rFonts w:hint="eastAsia" w:ascii="宋体" w:hAnsi="宋体" w:eastAsia="宋体" w:cs="宋体"/>
                <w:b/>
                <w:bCs/>
                <w:color w:val="auto"/>
                <w:kern w:val="0"/>
                <w:sz w:val="24"/>
                <w:highlight w:val="none"/>
                <w:lang w:val="zh-CN"/>
              </w:rPr>
              <w:t>提供合同</w:t>
            </w:r>
            <w:r>
              <w:rPr>
                <w:rFonts w:hint="eastAsia" w:ascii="宋体" w:hAnsi="宋体" w:eastAsia="宋体" w:cs="宋体"/>
                <w:b/>
                <w:bCs/>
                <w:color w:val="auto"/>
                <w:kern w:val="0"/>
                <w:sz w:val="24"/>
                <w:highlight w:val="none"/>
                <w:lang w:val="en-US" w:eastAsia="zh-CN"/>
              </w:rPr>
              <w:t>并加盖投标人公章，否则不得分。</w:t>
            </w:r>
          </w:p>
        </w:tc>
      </w:tr>
      <w:tr w14:paraId="016F8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730811C0">
            <w:pPr>
              <w:tabs>
                <w:tab w:val="left" w:pos="426"/>
              </w:tabs>
              <w:autoSpaceDE w:val="0"/>
              <w:autoSpaceDN w:val="0"/>
              <w:adjustRightInd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w:t>
            </w:r>
          </w:p>
        </w:tc>
        <w:tc>
          <w:tcPr>
            <w:tcW w:w="368" w:type="pct"/>
            <w:noWrap w:val="0"/>
            <w:vAlign w:val="center"/>
          </w:tcPr>
          <w:p w14:paraId="420D0FE0">
            <w:pPr>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车辆配置</w:t>
            </w:r>
          </w:p>
        </w:tc>
        <w:tc>
          <w:tcPr>
            <w:tcW w:w="363" w:type="pct"/>
            <w:noWrap w:val="0"/>
            <w:vAlign w:val="center"/>
          </w:tcPr>
          <w:p w14:paraId="6F0AD7AE">
            <w:pPr>
              <w:tabs>
                <w:tab w:val="left" w:pos="426"/>
              </w:tabs>
              <w:autoSpaceDE w:val="0"/>
              <w:autoSpaceDN w:val="0"/>
              <w:adjustRightInd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10</w:t>
            </w:r>
          </w:p>
        </w:tc>
        <w:tc>
          <w:tcPr>
            <w:tcW w:w="3987" w:type="pct"/>
            <w:noWrap w:val="0"/>
            <w:vAlign w:val="center"/>
          </w:tcPr>
          <w:p w14:paraId="40548AF3">
            <w:pPr>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投标人自有运输车辆的（行驶证登记的所有人需与投标人名称一致），有一辆得5分，最高得10分。</w:t>
            </w:r>
          </w:p>
          <w:p w14:paraId="3CFE0E7C">
            <w:pPr>
              <w:adjustRightInd w:val="0"/>
              <w:snapToGrid w:val="0"/>
              <w:spacing w:line="360" w:lineRule="exact"/>
              <w:rPr>
                <w:rFonts w:hint="eastAsia" w:ascii="宋体" w:hAnsi="宋体" w:cs="宋体"/>
                <w:b/>
                <w:bCs/>
                <w:color w:val="auto"/>
                <w:kern w:val="0"/>
                <w:sz w:val="24"/>
                <w:szCs w:val="24"/>
                <w:highlight w:val="none"/>
                <w:lang w:val="zh-CN" w:eastAsia="zh-CN" w:bidi="ar-SA"/>
              </w:rPr>
            </w:pPr>
            <w:r>
              <w:rPr>
                <w:rFonts w:hint="eastAsia" w:ascii="宋体" w:hAnsi="宋体" w:eastAsia="宋体" w:cs="宋体"/>
                <w:b/>
                <w:bCs/>
                <w:color w:val="auto"/>
                <w:kern w:val="0"/>
                <w:sz w:val="24"/>
                <w:highlight w:val="none"/>
                <w:lang w:val="zh-CN"/>
              </w:rPr>
              <w:t>注：</w:t>
            </w:r>
            <w:r>
              <w:rPr>
                <w:rFonts w:hint="eastAsia" w:ascii="宋体" w:hAnsi="宋体" w:eastAsia="宋体" w:cs="宋体"/>
                <w:b/>
                <w:bCs/>
                <w:color w:val="auto"/>
                <w:kern w:val="0"/>
                <w:sz w:val="24"/>
                <w:highlight w:val="none"/>
                <w:lang w:val="en-US" w:eastAsia="zh-CN"/>
              </w:rPr>
              <w:t>投标文件中</w:t>
            </w:r>
            <w:r>
              <w:rPr>
                <w:rFonts w:hint="eastAsia" w:ascii="宋体" w:hAnsi="宋体" w:eastAsia="宋体" w:cs="宋体"/>
                <w:b/>
                <w:bCs/>
                <w:color w:val="auto"/>
                <w:kern w:val="0"/>
                <w:sz w:val="24"/>
                <w:highlight w:val="none"/>
                <w:lang w:val="zh-CN"/>
              </w:rPr>
              <w:t>提供行驶证</w:t>
            </w:r>
            <w:r>
              <w:rPr>
                <w:rFonts w:hint="eastAsia" w:ascii="宋体" w:hAnsi="宋体" w:eastAsia="宋体" w:cs="宋体"/>
                <w:b/>
                <w:bCs/>
                <w:color w:val="auto"/>
                <w:kern w:val="0"/>
                <w:sz w:val="24"/>
                <w:highlight w:val="none"/>
                <w:lang w:val="en-US" w:eastAsia="zh-CN"/>
              </w:rPr>
              <w:t>并加盖投标人公章，否则不得分。</w:t>
            </w:r>
          </w:p>
        </w:tc>
      </w:tr>
      <w:tr w14:paraId="6DF07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4AD623CF">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三、主观分（</w:t>
            </w:r>
            <w:r>
              <w:rPr>
                <w:rFonts w:hint="eastAsia" w:ascii="宋体" w:hAnsi="宋体" w:cs="宋体"/>
                <w:b/>
                <w:color w:val="auto"/>
                <w:kern w:val="0"/>
                <w:sz w:val="24"/>
                <w:highlight w:val="none"/>
                <w:lang w:val="en-US" w:eastAsia="zh-CN"/>
              </w:rPr>
              <w:t>50</w:t>
            </w:r>
            <w:r>
              <w:rPr>
                <w:rFonts w:hint="eastAsia" w:ascii="宋体" w:hAnsi="宋体" w:cs="宋体"/>
                <w:b/>
                <w:color w:val="auto"/>
                <w:kern w:val="0"/>
                <w:sz w:val="24"/>
                <w:highlight w:val="none"/>
              </w:rPr>
              <w:t>分）</w:t>
            </w:r>
          </w:p>
        </w:tc>
      </w:tr>
      <w:tr w14:paraId="3596E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280" w:type="pct"/>
            <w:noWrap w:val="0"/>
            <w:vAlign w:val="center"/>
          </w:tcPr>
          <w:p w14:paraId="10FC166D">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42D3EC8A">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整体实施方案</w:t>
            </w:r>
          </w:p>
        </w:tc>
        <w:tc>
          <w:tcPr>
            <w:tcW w:w="363" w:type="pct"/>
            <w:noWrap w:val="0"/>
            <w:vAlign w:val="center"/>
          </w:tcPr>
          <w:p w14:paraId="2082E952">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kern w:val="2"/>
                <w:sz w:val="24"/>
                <w:highlight w:val="none"/>
                <w:lang w:val="en-US" w:eastAsia="zh-CN"/>
              </w:rPr>
              <w:t>10</w:t>
            </w:r>
          </w:p>
        </w:tc>
        <w:tc>
          <w:tcPr>
            <w:tcW w:w="3987" w:type="pct"/>
            <w:noWrap w:val="0"/>
            <w:vAlign w:val="top"/>
          </w:tcPr>
          <w:p w14:paraId="0FB57DA2">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整体实施方案</w:t>
            </w:r>
            <w:r>
              <w:rPr>
                <w:rFonts w:hint="eastAsia" w:ascii="宋体" w:hAnsi="宋体" w:cs="宋体"/>
                <w:color w:val="auto"/>
                <w:kern w:val="0"/>
                <w:sz w:val="24"/>
                <w:highlight w:val="none"/>
                <w:lang w:val="zh-CN"/>
              </w:rPr>
              <w:t>进行综合评审。</w:t>
            </w:r>
          </w:p>
          <w:p w14:paraId="53F4B26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内容完整覆盖院内分类收集、密闭转运、暂存点管理、交接登记、最终处置全流程；专项包含‌院内转运路线规划、感染性医疗废物专区处置、暂存点定时消杀、新冠/特殊感染废物专项处理‌4项，方案贴合医院实际场景，落地性强，得10分；</w:t>
            </w:r>
          </w:p>
          <w:p w14:paraId="1276D8F7">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（2）覆盖全流程核心环节，包含2-3项医院特有要求，方案贴合项目基本要求，无明显遗漏，得8分；</w:t>
            </w:r>
          </w:p>
          <w:p w14:paraId="69A760B7">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（3）框架完整，仅包含1项医院特有要求，内容深度不足，部分细节规划笼统，满足基础实施要求，得6分；</w:t>
            </w:r>
          </w:p>
          <w:p w14:paraId="0DC55C6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内容单薄，未结合医院项目设计，仅通用模板，适配度低，无法支撑项目落地</w:t>
            </w:r>
            <w:r>
              <w:rPr>
                <w:rFonts w:hint="eastAsia" w:ascii="宋体" w:hAnsi="宋体" w:eastAsia="宋体" w:cs="宋体"/>
                <w:color w:val="auto"/>
                <w:kern w:val="0"/>
                <w:sz w:val="24"/>
                <w:highlight w:val="none"/>
                <w:lang w:val="zh-CN"/>
              </w:rPr>
              <w:t>，得4分；</w:t>
            </w:r>
          </w:p>
          <w:p w14:paraId="66BD46AE">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（5）未提供的不得分。</w:t>
            </w:r>
          </w:p>
        </w:tc>
      </w:tr>
      <w:tr w14:paraId="6D2F2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703065BC">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368" w:type="pct"/>
            <w:noWrap w:val="0"/>
            <w:vAlign w:val="center"/>
          </w:tcPr>
          <w:p w14:paraId="2230271A">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全流程质量管理方案</w:t>
            </w:r>
          </w:p>
        </w:tc>
        <w:tc>
          <w:tcPr>
            <w:tcW w:w="363" w:type="pct"/>
            <w:noWrap w:val="0"/>
            <w:vAlign w:val="center"/>
          </w:tcPr>
          <w:p w14:paraId="370468E1">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top"/>
          </w:tcPr>
          <w:p w14:paraId="5235DC07">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olor w:val="auto"/>
                <w:spacing w:val="2"/>
                <w:sz w:val="24"/>
                <w:szCs w:val="24"/>
                <w:highlight w:val="none"/>
              </w:rPr>
              <w:t>全流程质量管理方案</w:t>
            </w:r>
            <w:r>
              <w:rPr>
                <w:rFonts w:hint="eastAsia" w:ascii="宋体" w:hAnsi="宋体" w:cs="宋体"/>
                <w:color w:val="auto"/>
                <w:kern w:val="0"/>
                <w:sz w:val="24"/>
                <w:highlight w:val="none"/>
                <w:lang w:val="zh-CN"/>
              </w:rPr>
              <w:t>进行综合评审。</w:t>
            </w:r>
          </w:p>
          <w:p w14:paraId="715BE96D">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质量管控体系覆盖收集-转运-暂存-交接全流程，包含‌收集桶消毒、人员防护、转移联单管理、漏洒防控‌4项核心管控内容，管控标准符合《医疗废物管理条例》《医疗卫生机构医疗废物管理办法》要求，可全环节把控质量，得10分；</w:t>
            </w:r>
          </w:p>
          <w:p w14:paraId="525EC98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覆盖核心管控环节，包含2-3项核心管控内容，符合行业基础质量标准，可规避常见质量问题</w:t>
            </w:r>
            <w:r>
              <w:rPr>
                <w:rFonts w:hint="eastAsia" w:ascii="宋体" w:hAnsi="宋体" w:eastAsia="宋体" w:cs="宋体"/>
                <w:color w:val="auto"/>
                <w:kern w:val="0"/>
                <w:sz w:val="24"/>
                <w:highlight w:val="none"/>
                <w:lang w:val="zh-CN"/>
              </w:rPr>
              <w:t>，得8分；</w:t>
            </w:r>
          </w:p>
          <w:p w14:paraId="7AE66C99">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w:t>
            </w:r>
            <w:r>
              <w:rPr>
                <w:rFonts w:ascii="Arial" w:hAnsi="Arial" w:eastAsia="Arial" w:cs="Arial"/>
                <w:i w:val="0"/>
                <w:iCs w:val="0"/>
                <w:caps w:val="0"/>
                <w:color w:val="auto"/>
                <w:spacing w:val="0"/>
                <w:sz w:val="24"/>
                <w:szCs w:val="24"/>
                <w:highlight w:val="none"/>
                <w:shd w:val="clear" w:fill="FFFFFF"/>
              </w:rPr>
              <w:t>框架完整，包含1项核心管控内容，管控内容笼统，仅满足基础质量管控要求</w:t>
            </w:r>
            <w:r>
              <w:rPr>
                <w:rFonts w:hint="eastAsia" w:ascii="宋体" w:hAnsi="宋体" w:eastAsia="宋体" w:cs="宋体"/>
                <w:color w:val="auto"/>
                <w:kern w:val="0"/>
                <w:sz w:val="24"/>
                <w:highlight w:val="none"/>
                <w:lang w:val="zh-CN"/>
              </w:rPr>
              <w:t>，得6分；</w:t>
            </w:r>
          </w:p>
          <w:p w14:paraId="511ABA3E">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体系不完整，无针对医疗废物的专项管控，管控流于形式，无法满足质量要求</w:t>
            </w:r>
            <w:r>
              <w:rPr>
                <w:rFonts w:hint="eastAsia" w:ascii="宋体" w:hAnsi="宋体" w:eastAsia="宋体" w:cs="宋体"/>
                <w:color w:val="auto"/>
                <w:kern w:val="0"/>
                <w:sz w:val="24"/>
                <w:highlight w:val="none"/>
                <w:lang w:val="zh-CN"/>
              </w:rPr>
              <w:t>，得4分；</w:t>
            </w:r>
          </w:p>
          <w:p w14:paraId="06D73F02">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（5）未提供的不得分。</w:t>
            </w:r>
          </w:p>
        </w:tc>
      </w:tr>
      <w:tr w14:paraId="4E91E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63F18EDE">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368" w:type="pct"/>
            <w:noWrap w:val="0"/>
            <w:vAlign w:val="center"/>
          </w:tcPr>
          <w:p w14:paraId="3D0AFF8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default" w:ascii="宋体" w:hAnsi="宋体" w:eastAsia="宋体" w:cs="宋体"/>
                <w:color w:val="auto"/>
                <w:kern w:val="0"/>
                <w:sz w:val="24"/>
                <w:highlight w:val="none"/>
                <w:lang w:val="zh-CN"/>
              </w:rPr>
              <w:t>安全监测方案</w:t>
            </w:r>
          </w:p>
          <w:p w14:paraId="6B4526F1">
            <w:pPr>
              <w:spacing w:line="360" w:lineRule="auto"/>
              <w:jc w:val="center"/>
              <w:rPr>
                <w:rFonts w:hint="eastAsia" w:ascii="宋体" w:hAnsi="宋体" w:eastAsia="宋体" w:cs="宋体"/>
                <w:color w:val="auto"/>
                <w:kern w:val="2"/>
                <w:sz w:val="24"/>
                <w:szCs w:val="24"/>
                <w:highlight w:val="none"/>
                <w:lang w:val="en-US" w:eastAsia="zh-CN" w:bidi="ar-SA"/>
              </w:rPr>
            </w:pPr>
          </w:p>
        </w:tc>
        <w:tc>
          <w:tcPr>
            <w:tcW w:w="363" w:type="pct"/>
            <w:noWrap w:val="0"/>
            <w:vAlign w:val="center"/>
          </w:tcPr>
          <w:p w14:paraId="3FB59AB0">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4033232B">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安全监测方案</w:t>
            </w:r>
            <w:r>
              <w:rPr>
                <w:rFonts w:hint="eastAsia" w:ascii="宋体" w:hAnsi="宋体" w:cs="宋体"/>
                <w:color w:val="auto"/>
                <w:kern w:val="0"/>
                <w:sz w:val="24"/>
                <w:highlight w:val="none"/>
                <w:lang w:val="zh-CN"/>
              </w:rPr>
              <w:t>进行综合评审。</w:t>
            </w:r>
          </w:p>
          <w:p w14:paraId="634D45C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方案包含‌人员防护监测、暂存点环境监测、转运工具消毒监测、医疗废物泄漏防控监测‌4项专项监测内容，符合《医疗废物管理条例》安全要求，监测维度全覆盖、管控闭环，可全方位规避安全风险，得10分；</w:t>
            </w:r>
          </w:p>
          <w:p w14:paraId="3139A40D">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（2）方案包含2-3项专项监测内容，监测流程清晰，贴合项目基础安全标准，覆盖主要监测节点，满足常态化管控需求，得8分；</w:t>
            </w:r>
          </w:p>
          <w:p w14:paraId="744BE1B3">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（3）方案架构完整，仅包含1项专项监测内容，内容单薄，措施通用性强，仅满足常规监测要求，得6分；</w:t>
            </w:r>
          </w:p>
          <w:p w14:paraId="5528E50C">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（4）内容粗糙架构残缺，无针对性专项监测，无实际管控价值，得4分；</w:t>
            </w:r>
          </w:p>
          <w:p w14:paraId="0BB4B5CB">
            <w:pPr>
              <w:tabs>
                <w:tab w:val="left" w:pos="426"/>
              </w:tabs>
              <w:autoSpaceDE w:val="0"/>
              <w:autoSpaceDN w:val="0"/>
              <w:adjustRightInd w:val="0"/>
              <w:spacing w:line="360" w:lineRule="exact"/>
              <w:rPr>
                <w:rFonts w:hint="eastAsia" w:ascii="宋体" w:hAnsi="宋体" w:cs="宋体"/>
                <w:color w:val="auto"/>
                <w:sz w:val="24"/>
                <w:highlight w:val="none"/>
                <w:lang w:val="zh-CN"/>
              </w:rPr>
            </w:pPr>
            <w:r>
              <w:rPr>
                <w:rFonts w:hint="eastAsia" w:ascii="宋体" w:hAnsi="宋体" w:eastAsia="宋体" w:cs="宋体"/>
                <w:color w:val="auto"/>
                <w:kern w:val="0"/>
                <w:sz w:val="24"/>
                <w:highlight w:val="none"/>
                <w:lang w:val="zh-CN"/>
              </w:rPr>
              <w:t>（5）未提供的不得分。</w:t>
            </w:r>
          </w:p>
        </w:tc>
      </w:tr>
      <w:tr w14:paraId="5A06F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53ECCF86">
            <w:pPr>
              <w:tabs>
                <w:tab w:val="left" w:pos="426"/>
              </w:tabs>
              <w:autoSpaceDE w:val="0"/>
              <w:autoSpaceDN w:val="0"/>
              <w:adjustRightInd w:val="0"/>
              <w:spacing w:line="36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368" w:type="pct"/>
            <w:noWrap w:val="0"/>
            <w:vAlign w:val="center"/>
          </w:tcPr>
          <w:p w14:paraId="1FF56BC4">
            <w:pPr>
              <w:spacing w:line="360" w:lineRule="auto"/>
              <w:jc w:val="center"/>
              <w:rPr>
                <w:rFonts w:hint="eastAsia" w:ascii="宋体" w:hAnsi="宋体"/>
                <w:color w:val="auto"/>
                <w:spacing w:val="2"/>
                <w:sz w:val="24"/>
                <w:szCs w:val="24"/>
                <w:highlight w:val="none"/>
              </w:rPr>
            </w:pPr>
            <w:r>
              <w:rPr>
                <w:rFonts w:hint="default" w:ascii="宋体" w:hAnsi="宋体"/>
                <w:color w:val="auto"/>
                <w:spacing w:val="2"/>
                <w:sz w:val="24"/>
                <w:szCs w:val="24"/>
                <w:highlight w:val="none"/>
              </w:rPr>
              <w:t>突发情况应急处置预案</w:t>
            </w:r>
          </w:p>
          <w:p w14:paraId="758F8922">
            <w:pPr>
              <w:spacing w:line="360" w:lineRule="auto"/>
              <w:jc w:val="center"/>
              <w:rPr>
                <w:rFonts w:hint="eastAsia" w:ascii="宋体" w:hAnsi="宋体" w:eastAsia="宋体" w:cs="宋体"/>
                <w:color w:val="auto"/>
                <w:kern w:val="2"/>
                <w:sz w:val="24"/>
                <w:szCs w:val="24"/>
                <w:highlight w:val="none"/>
                <w:lang w:val="en-US" w:eastAsia="zh-CN" w:bidi="ar-SA"/>
              </w:rPr>
            </w:pPr>
          </w:p>
        </w:tc>
        <w:tc>
          <w:tcPr>
            <w:tcW w:w="363" w:type="pct"/>
            <w:noWrap w:val="0"/>
            <w:vAlign w:val="center"/>
          </w:tcPr>
          <w:p w14:paraId="50CB7972">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05BC44CE">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突发情况应急处置预案</w:t>
            </w:r>
            <w:r>
              <w:rPr>
                <w:rFonts w:hint="eastAsia" w:ascii="宋体" w:hAnsi="宋体" w:cs="宋体"/>
                <w:color w:val="auto"/>
                <w:kern w:val="0"/>
                <w:sz w:val="24"/>
                <w:highlight w:val="none"/>
                <w:lang w:val="zh-CN"/>
              </w:rPr>
              <w:t>进行综合评审。</w:t>
            </w:r>
          </w:p>
          <w:p w14:paraId="29D91D3E">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（1）覆盖‌医疗废物泄漏、收集容器破损、人员职业暴露、暂存点污染‌4类医院高频突发场景，包含风险预判、防控、处置、善后全流程，每个场景都有针对性处置步骤，实操性极强，得10分；</w:t>
            </w:r>
          </w:p>
          <w:p w14:paraId="22160170">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覆盖3类主要突发场景，核心处置流程清晰，可应对常见突发问题，满足基础安全需求</w:t>
            </w:r>
            <w:r>
              <w:rPr>
                <w:rFonts w:hint="eastAsia" w:ascii="宋体" w:hAnsi="宋体" w:eastAsia="宋体" w:cs="宋体"/>
                <w:color w:val="auto"/>
                <w:kern w:val="0"/>
                <w:sz w:val="24"/>
                <w:highlight w:val="none"/>
                <w:lang w:val="zh-CN"/>
              </w:rPr>
              <w:t>，得8分；</w:t>
            </w:r>
          </w:p>
          <w:p w14:paraId="14571D1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（3）覆盖1-2类突发场景，内容深度不足，部分场景无对应方案，仅能应对常规基础问题，得6分；</w:t>
            </w:r>
          </w:p>
          <w:p w14:paraId="78A7FA20">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内容简陋，无针对医疗废物项目的专项规划，无法适配应急保障需求</w:t>
            </w:r>
            <w:r>
              <w:rPr>
                <w:rFonts w:hint="eastAsia" w:ascii="宋体" w:hAnsi="宋体" w:eastAsia="宋体" w:cs="宋体"/>
                <w:color w:val="auto"/>
                <w:kern w:val="0"/>
                <w:sz w:val="24"/>
                <w:highlight w:val="none"/>
                <w:lang w:val="zh-CN"/>
              </w:rPr>
              <w:t>，得4分；</w:t>
            </w:r>
          </w:p>
          <w:p w14:paraId="36663915">
            <w:pPr>
              <w:tabs>
                <w:tab w:val="left" w:pos="426"/>
              </w:tabs>
              <w:autoSpaceDE w:val="0"/>
              <w:autoSpaceDN w:val="0"/>
              <w:adjustRightInd w:val="0"/>
              <w:spacing w:line="360" w:lineRule="exact"/>
              <w:rPr>
                <w:rFonts w:ascii="宋体" w:hAnsi="宋体" w:cs="宋体"/>
                <w:color w:val="auto"/>
                <w:sz w:val="24"/>
                <w:highlight w:val="none"/>
              </w:rPr>
            </w:pPr>
            <w:r>
              <w:rPr>
                <w:rFonts w:hint="eastAsia" w:ascii="宋体" w:hAnsi="宋体" w:eastAsia="宋体" w:cs="宋体"/>
                <w:color w:val="auto"/>
                <w:kern w:val="0"/>
                <w:sz w:val="24"/>
                <w:highlight w:val="none"/>
                <w:lang w:val="zh-CN"/>
              </w:rPr>
              <w:t>（5）未提供的不得分。</w:t>
            </w:r>
          </w:p>
        </w:tc>
      </w:tr>
      <w:tr w14:paraId="77608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022DA95B">
            <w:pPr>
              <w:tabs>
                <w:tab w:val="left" w:pos="426"/>
              </w:tabs>
              <w:autoSpaceDE w:val="0"/>
              <w:autoSpaceDN w:val="0"/>
              <w:adjustRightInd w:val="0"/>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368" w:type="pct"/>
            <w:noWrap w:val="0"/>
            <w:vAlign w:val="center"/>
          </w:tcPr>
          <w:p w14:paraId="028F6156">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服务承诺</w:t>
            </w:r>
          </w:p>
        </w:tc>
        <w:tc>
          <w:tcPr>
            <w:tcW w:w="363" w:type="pct"/>
            <w:noWrap w:val="0"/>
            <w:vAlign w:val="center"/>
          </w:tcPr>
          <w:p w14:paraId="01527667">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76F29965">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服务承诺</w:t>
            </w:r>
            <w:r>
              <w:rPr>
                <w:rFonts w:hint="eastAsia" w:ascii="宋体" w:hAnsi="宋体" w:cs="宋体"/>
                <w:color w:val="auto"/>
                <w:kern w:val="0"/>
                <w:sz w:val="24"/>
                <w:highlight w:val="none"/>
                <w:lang w:val="zh-CN"/>
              </w:rPr>
              <w:t>进行综合评审。</w:t>
            </w:r>
          </w:p>
          <w:p w14:paraId="7E8431AB">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（1）包含‌人员配置保障、清运时效承诺、突发情况响应时间、人员健康防护‌4项针对性内容，所有承诺明确具体可验证，完全契合医院项目服务需求，得10分；</w:t>
            </w:r>
          </w:p>
          <w:p w14:paraId="4FCD8A5A">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包含2-3项针对性内容，承诺清晰可验证，满足项目核心服务要求</w:t>
            </w:r>
            <w:r>
              <w:rPr>
                <w:rFonts w:hint="eastAsia" w:ascii="宋体" w:hAnsi="宋体" w:eastAsia="宋体" w:cs="宋体"/>
                <w:color w:val="auto"/>
                <w:kern w:val="0"/>
                <w:sz w:val="24"/>
                <w:highlight w:val="none"/>
                <w:lang w:val="zh-CN"/>
              </w:rPr>
              <w:t>，得8分；</w:t>
            </w:r>
          </w:p>
          <w:p w14:paraId="41CEA2C3">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（3）包含1项针对性内容，整体为通用表述，仅满足基础服务需求，得6分；</w:t>
            </w:r>
          </w:p>
          <w:p w14:paraId="3CE4B26C">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（4）内容浅显，维度单一，无明确可验证承诺，仅能简单匹配基础要求，得4分；</w:t>
            </w:r>
          </w:p>
          <w:p w14:paraId="70493CD4">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）未提供的不得分。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46"/>
        <w:ind w:firstLine="480"/>
        <w:rPr>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46C9153A">
      <w:pPr>
        <w:pStyle w:val="114"/>
        <w:numPr>
          <w:ilvl w:val="0"/>
          <w:numId w:val="0"/>
        </w:numPr>
        <w:spacing w:line="360" w:lineRule="auto"/>
        <w:ind w:leftChars="0" w:firstLine="245" w:firstLineChars="100"/>
        <w:contextualSpacing/>
        <w:rPr>
          <w:rFonts w:ascii="Times New Roman" w:hAnsi="Times New Roman"/>
          <w:b/>
          <w:color w:val="auto"/>
          <w:sz w:val="24"/>
          <w:szCs w:val="24"/>
          <w:highlight w:val="none"/>
        </w:rPr>
      </w:pPr>
      <w:bookmarkStart w:id="813" w:name="_Toc4597"/>
      <w:bookmarkStart w:id="814" w:name="_Toc13366"/>
      <w:bookmarkStart w:id="815" w:name="_Toc99301425"/>
      <w:r>
        <w:rPr>
          <w:rFonts w:hint="eastAsia" w:ascii="宋体" w:hAnsi="宋体" w:eastAsia="宋体" w:cs="宋体"/>
          <w:b/>
          <w:bCs/>
          <w:color w:val="auto"/>
          <w:spacing w:val="2"/>
          <w:sz w:val="24"/>
          <w:szCs w:val="24"/>
          <w:highlight w:val="none"/>
          <w:u w:val="none"/>
          <w:lang w:val="en-US" w:eastAsia="zh-CN"/>
        </w:rPr>
        <w:t>一、</w:t>
      </w:r>
      <w:r>
        <w:rPr>
          <w:rFonts w:ascii="Times New Roman" w:hAnsi="Times New Roman"/>
          <w:b/>
          <w:color w:val="auto"/>
          <w:sz w:val="24"/>
          <w:szCs w:val="24"/>
          <w:highlight w:val="none"/>
        </w:rPr>
        <w:t>采购标的</w:t>
      </w:r>
    </w:p>
    <w:p w14:paraId="65CC6BC6">
      <w:pPr>
        <w:spacing w:line="360" w:lineRule="auto"/>
        <w:ind w:firstLine="482" w:firstLineChars="200"/>
        <w:contextualSpacing/>
        <w:rPr>
          <w:rFonts w:hint="eastAsia" w:eastAsia="宋体"/>
          <w:bCs/>
          <w:color w:val="auto"/>
          <w:sz w:val="24"/>
          <w:highlight w:val="none"/>
          <w:lang w:val="en-US" w:eastAsia="zh-CN"/>
        </w:rPr>
      </w:pPr>
      <w:r>
        <w:rPr>
          <w:rFonts w:hint="eastAsia" w:ascii="宋体" w:hAnsi="宋体" w:eastAsia="宋体" w:cs="宋体"/>
          <w:b/>
          <w:bCs/>
          <w:color w:val="auto"/>
          <w:sz w:val="24"/>
          <w:szCs w:val="24"/>
          <w:highlight w:val="none"/>
          <w:lang w:val="en-US" w:eastAsia="zh-CN"/>
        </w:rPr>
        <w:t>1.采购标的名称：</w:t>
      </w:r>
      <w:r>
        <w:rPr>
          <w:rFonts w:hint="eastAsia" w:ascii="宋体" w:hAnsi="宋体" w:cs="宋体"/>
          <w:bCs/>
          <w:color w:val="auto"/>
          <w:sz w:val="24"/>
          <w:szCs w:val="24"/>
          <w:highlight w:val="none"/>
          <w:lang w:eastAsia="zh-CN"/>
        </w:rPr>
        <w:t>常州市中医医院医疗废物收集处置服务</w:t>
      </w:r>
    </w:p>
    <w:p w14:paraId="648A553C">
      <w:pPr>
        <w:spacing w:line="360" w:lineRule="auto"/>
        <w:ind w:firstLine="482" w:firstLineChars="200"/>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2.采购清单</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4"/>
        <w:gridCol w:w="896"/>
        <w:gridCol w:w="2193"/>
        <w:gridCol w:w="1834"/>
        <w:gridCol w:w="779"/>
      </w:tblGrid>
      <w:tr w14:paraId="47D1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13BE4F0D">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医疗废物类别</w:t>
            </w:r>
          </w:p>
        </w:tc>
        <w:tc>
          <w:tcPr>
            <w:tcW w:w="540" w:type="pct"/>
            <w:noWrap w:val="0"/>
            <w:vAlign w:val="center"/>
          </w:tcPr>
          <w:p w14:paraId="05F21277">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危废代码</w:t>
            </w:r>
          </w:p>
        </w:tc>
        <w:tc>
          <w:tcPr>
            <w:tcW w:w="1321" w:type="pct"/>
            <w:noWrap w:val="0"/>
            <w:vAlign w:val="center"/>
          </w:tcPr>
          <w:p w14:paraId="56F9B283">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主要污染物及指标</w:t>
            </w:r>
          </w:p>
        </w:tc>
        <w:tc>
          <w:tcPr>
            <w:tcW w:w="1105" w:type="pct"/>
            <w:noWrap w:val="0"/>
            <w:vAlign w:val="center"/>
          </w:tcPr>
          <w:p w14:paraId="4DAFE633">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包装方式</w:t>
            </w:r>
          </w:p>
        </w:tc>
        <w:tc>
          <w:tcPr>
            <w:tcW w:w="469" w:type="pct"/>
            <w:noWrap w:val="0"/>
            <w:vAlign w:val="center"/>
          </w:tcPr>
          <w:p w14:paraId="06935087">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预估数量</w:t>
            </w:r>
          </w:p>
        </w:tc>
      </w:tr>
      <w:tr w14:paraId="0D512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653A3AC2">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感染性、损伤性、化学性、药物性医废</w:t>
            </w:r>
          </w:p>
        </w:tc>
        <w:tc>
          <w:tcPr>
            <w:tcW w:w="540" w:type="pct"/>
            <w:noWrap w:val="0"/>
            <w:vAlign w:val="center"/>
          </w:tcPr>
          <w:p w14:paraId="40201403">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HW</w:t>
            </w:r>
            <w:r>
              <w:rPr>
                <w:rFonts w:hint="eastAsia" w:ascii="宋体" w:hAnsi="宋体" w:cs="Times New Roman"/>
                <w:color w:val="auto"/>
                <w:spacing w:val="2"/>
                <w:sz w:val="24"/>
                <w:szCs w:val="24"/>
                <w:highlight w:val="none"/>
                <w:lang w:val="en-US" w:eastAsia="zh-CN"/>
              </w:rPr>
              <w:t>0</w:t>
            </w:r>
            <w:r>
              <w:rPr>
                <w:rFonts w:hint="eastAsia" w:ascii="宋体" w:hAnsi="宋体" w:eastAsia="宋体" w:cs="Times New Roman"/>
                <w:color w:val="auto"/>
                <w:spacing w:val="2"/>
                <w:sz w:val="24"/>
                <w:szCs w:val="24"/>
                <w:highlight w:val="none"/>
                <w:lang w:val="en-US" w:eastAsia="zh-CN"/>
              </w:rPr>
              <w:t>1</w:t>
            </w:r>
          </w:p>
        </w:tc>
        <w:tc>
          <w:tcPr>
            <w:tcW w:w="1321" w:type="pct"/>
            <w:noWrap w:val="0"/>
            <w:vAlign w:val="center"/>
          </w:tcPr>
          <w:p w14:paraId="4854152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医疗废弃物</w:t>
            </w:r>
          </w:p>
        </w:tc>
        <w:tc>
          <w:tcPr>
            <w:tcW w:w="1105" w:type="pct"/>
            <w:noWrap w:val="0"/>
            <w:vAlign w:val="center"/>
          </w:tcPr>
          <w:p w14:paraId="08642CD4">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专用包装袋、利器盒</w:t>
            </w:r>
          </w:p>
        </w:tc>
        <w:tc>
          <w:tcPr>
            <w:tcW w:w="469" w:type="pct"/>
            <w:noWrap w:val="0"/>
            <w:vAlign w:val="center"/>
          </w:tcPr>
          <w:p w14:paraId="2AA82C2A">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900吨</w:t>
            </w:r>
          </w:p>
        </w:tc>
      </w:tr>
      <w:tr w14:paraId="71D18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769F2AE2">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病理性医废</w:t>
            </w:r>
          </w:p>
        </w:tc>
        <w:tc>
          <w:tcPr>
            <w:tcW w:w="540" w:type="pct"/>
            <w:noWrap w:val="0"/>
            <w:vAlign w:val="center"/>
          </w:tcPr>
          <w:p w14:paraId="5621B5A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HW</w:t>
            </w:r>
            <w:r>
              <w:rPr>
                <w:rFonts w:hint="eastAsia" w:ascii="宋体" w:hAnsi="宋体" w:cs="Times New Roman"/>
                <w:color w:val="auto"/>
                <w:spacing w:val="2"/>
                <w:sz w:val="24"/>
                <w:szCs w:val="24"/>
                <w:highlight w:val="none"/>
                <w:lang w:val="en-US" w:eastAsia="zh-CN"/>
              </w:rPr>
              <w:t>0</w:t>
            </w:r>
            <w:r>
              <w:rPr>
                <w:rFonts w:hint="eastAsia" w:ascii="宋体" w:hAnsi="宋体" w:eastAsia="宋体" w:cs="Times New Roman"/>
                <w:color w:val="auto"/>
                <w:spacing w:val="2"/>
                <w:sz w:val="24"/>
                <w:szCs w:val="24"/>
                <w:highlight w:val="none"/>
                <w:lang w:val="en-US" w:eastAsia="zh-CN"/>
              </w:rPr>
              <w:t>1</w:t>
            </w:r>
          </w:p>
        </w:tc>
        <w:tc>
          <w:tcPr>
            <w:tcW w:w="1321" w:type="pct"/>
            <w:noWrap w:val="0"/>
            <w:vAlign w:val="center"/>
          </w:tcPr>
          <w:p w14:paraId="7E1AF569">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病理性医疗废弃物</w:t>
            </w:r>
          </w:p>
        </w:tc>
        <w:tc>
          <w:tcPr>
            <w:tcW w:w="1105" w:type="pct"/>
            <w:noWrap w:val="0"/>
            <w:vAlign w:val="center"/>
          </w:tcPr>
          <w:p w14:paraId="15E0CA3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专用密封容器</w:t>
            </w:r>
          </w:p>
        </w:tc>
        <w:tc>
          <w:tcPr>
            <w:tcW w:w="469" w:type="pct"/>
            <w:noWrap w:val="0"/>
            <w:vAlign w:val="center"/>
          </w:tcPr>
          <w:p w14:paraId="7AF27FBC">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2000公斤</w:t>
            </w:r>
          </w:p>
        </w:tc>
      </w:tr>
    </w:tbl>
    <w:p w14:paraId="07CF0C1F">
      <w:pPr>
        <w:spacing w:line="360" w:lineRule="auto"/>
        <w:ind w:firstLine="482" w:firstLineChars="200"/>
        <w:contextualSpacing/>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highlight w:val="none"/>
          <w:lang w:eastAsia="zh-CN"/>
        </w:rPr>
        <w:t>项目概述</w:t>
      </w:r>
    </w:p>
    <w:p w14:paraId="175069F9">
      <w:pPr>
        <w:spacing w:line="360" w:lineRule="auto"/>
        <w:ind w:firstLine="480" w:firstLineChars="200"/>
        <w:contextualSpacing/>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本项目是常州市中医医院医疗废物收集处置服务项目，根据《医疗废物管理条例》《医疗卫生机构医疗废物管理办法》等规定，常州市中医医院产生的各类医疗废弃物须交由具备专业处置资质单位进行无害化清运处置，确保符合国家环保与卫生标准。</w:t>
      </w:r>
    </w:p>
    <w:p w14:paraId="08B135A9">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二、商务要求</w:t>
      </w:r>
    </w:p>
    <w:p w14:paraId="4E6B1B94">
      <w:pPr>
        <w:keepNext w:val="0"/>
        <w:keepLines w:val="0"/>
        <w:pageBreakBefore w:val="0"/>
        <w:widowControl w:val="0"/>
        <w:spacing w:line="360" w:lineRule="auto"/>
        <w:ind w:firstLine="488"/>
        <w:outlineLvl w:val="9"/>
        <w:rPr>
          <w:rFonts w:hint="eastAsia" w:ascii="宋体" w:hAnsi="宋体" w:cs="宋体"/>
          <w:color w:val="auto"/>
          <w:sz w:val="24"/>
          <w:highlight w:val="none"/>
          <w:u w:val="none"/>
          <w:lang w:eastAsia="zh-CN"/>
        </w:rPr>
      </w:pPr>
      <w:r>
        <w:rPr>
          <w:rFonts w:hint="eastAsia" w:ascii="宋体" w:hAnsi="宋体" w:eastAsia="宋体" w:cs="宋体"/>
          <w:b/>
          <w:bCs/>
          <w:color w:val="auto"/>
          <w:spacing w:val="2"/>
          <w:sz w:val="24"/>
          <w:szCs w:val="24"/>
          <w:highlight w:val="none"/>
          <w:u w:val="none"/>
          <w:lang w:val="en-US" w:eastAsia="zh-CN"/>
        </w:rPr>
        <w:t>1.服务期限</w:t>
      </w:r>
      <w:r>
        <w:rPr>
          <w:rFonts w:hint="eastAsia" w:ascii="宋体" w:hAnsi="宋体" w:cs="宋体"/>
          <w:b/>
          <w:bCs/>
          <w:color w:val="auto"/>
          <w:spacing w:val="2"/>
          <w:sz w:val="24"/>
          <w:szCs w:val="24"/>
          <w:highlight w:val="none"/>
          <w:u w:val="none"/>
          <w:lang w:val="en-US" w:eastAsia="zh-CN"/>
        </w:rPr>
        <w:t>：</w:t>
      </w:r>
      <w:r>
        <w:rPr>
          <w:rFonts w:hint="eastAsia" w:ascii="宋体" w:hAnsi="宋体" w:cs="宋体"/>
          <w:color w:val="auto"/>
          <w:sz w:val="24"/>
          <w:highlight w:val="none"/>
          <w:u w:val="none"/>
          <w:lang w:eastAsia="zh-CN"/>
        </w:rPr>
        <w:t>自合同签订之日起二年。</w:t>
      </w:r>
    </w:p>
    <w:p w14:paraId="6C0CF4E1">
      <w:pPr>
        <w:keepNext w:val="0"/>
        <w:keepLines w:val="0"/>
        <w:pageBreakBefore w:val="0"/>
        <w:widowControl w:val="0"/>
        <w:kinsoku/>
        <w:wordWrap/>
        <w:overflowPunct/>
        <w:topLinePunct w:val="0"/>
        <w:autoSpaceDE/>
        <w:autoSpaceDN/>
        <w:bidi w:val="0"/>
        <w:adjustRightInd/>
        <w:spacing w:line="360" w:lineRule="auto"/>
        <w:ind w:firstLine="490" w:firstLineChars="200"/>
        <w:contextualSpacing/>
        <w:textAlignment w:val="auto"/>
        <w:outlineLvl w:val="9"/>
        <w:rPr>
          <w:rFonts w:hint="default" w:ascii="宋体" w:hAnsi="宋体" w:cs="宋体"/>
          <w:color w:val="auto"/>
          <w:sz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2.服务地点：</w:t>
      </w:r>
      <w:r>
        <w:rPr>
          <w:rFonts w:hint="eastAsia" w:ascii="宋体" w:hAnsi="宋体" w:cs="宋体"/>
          <w:bCs/>
          <w:color w:val="auto"/>
          <w:sz w:val="24"/>
          <w:szCs w:val="24"/>
          <w:highlight w:val="none"/>
          <w:lang w:eastAsia="zh-CN"/>
        </w:rPr>
        <w:t>常州市中医医院</w:t>
      </w:r>
    </w:p>
    <w:p w14:paraId="3036F2BD">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Cs/>
          <w:color w:val="auto"/>
          <w:sz w:val="24"/>
          <w:highlight w:val="none"/>
          <w:lang w:eastAsia="zh-CN"/>
        </w:rPr>
      </w:pPr>
      <w:r>
        <w:rPr>
          <w:rFonts w:hint="eastAsia" w:ascii="宋体" w:hAnsi="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val="en-US" w:eastAsia="zh-CN"/>
        </w:rPr>
        <w:t>.付款方式</w:t>
      </w:r>
      <w:r>
        <w:rPr>
          <w:rFonts w:hint="eastAsia" w:ascii="宋体" w:hAnsi="宋体" w:cs="宋体"/>
          <w:b/>
          <w:bCs w:val="0"/>
          <w:color w:val="auto"/>
          <w:sz w:val="24"/>
          <w:szCs w:val="24"/>
          <w:highlight w:val="none"/>
          <w:lang w:val="en-US" w:eastAsia="zh-CN"/>
        </w:rPr>
        <w:t>：</w:t>
      </w:r>
      <w:r>
        <w:rPr>
          <w:rFonts w:hint="eastAsia" w:ascii="宋体" w:hAnsi="宋体" w:cs="宋体"/>
          <w:bCs/>
          <w:color w:val="auto"/>
          <w:sz w:val="24"/>
          <w:highlight w:val="none"/>
          <w:lang w:eastAsia="zh-CN"/>
        </w:rPr>
        <w:t>按月结算，</w:t>
      </w:r>
      <w:r>
        <w:rPr>
          <w:rFonts w:hint="eastAsia" w:ascii="宋体" w:hAnsi="宋体" w:cs="宋体"/>
          <w:bCs/>
          <w:color w:val="auto"/>
          <w:sz w:val="24"/>
          <w:highlight w:val="none"/>
          <w:lang w:val="en-US" w:eastAsia="zh-CN"/>
        </w:rPr>
        <w:t>中标人</w:t>
      </w:r>
      <w:r>
        <w:rPr>
          <w:rFonts w:hint="eastAsia" w:ascii="宋体" w:hAnsi="宋体" w:cs="宋体"/>
          <w:bCs/>
          <w:color w:val="auto"/>
          <w:sz w:val="24"/>
          <w:highlight w:val="none"/>
          <w:lang w:eastAsia="zh-CN"/>
        </w:rPr>
        <w:t>开具发票后，医院30个工作日内付款。</w:t>
      </w:r>
    </w:p>
    <w:p w14:paraId="4544741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Cs/>
          <w:color w:val="auto"/>
          <w:sz w:val="24"/>
          <w:highlight w:val="none"/>
          <w:lang w:eastAsia="zh-CN"/>
        </w:rPr>
      </w:pP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lang w:val="en-US" w:eastAsia="zh-CN"/>
        </w:rPr>
        <w:t>.结算方式</w:t>
      </w:r>
      <w:r>
        <w:rPr>
          <w:rFonts w:hint="eastAsia" w:ascii="宋体" w:hAnsi="宋体" w:cs="宋体"/>
          <w:b/>
          <w:bCs w:val="0"/>
          <w:color w:val="auto"/>
          <w:sz w:val="24"/>
          <w:szCs w:val="24"/>
          <w:highlight w:val="none"/>
          <w:lang w:val="en-US" w:eastAsia="zh-CN"/>
        </w:rPr>
        <w:t>：</w:t>
      </w:r>
      <w:r>
        <w:rPr>
          <w:rFonts w:hint="eastAsia" w:ascii="宋体" w:hAnsi="宋体" w:cs="宋体"/>
          <w:bCs/>
          <w:color w:val="auto"/>
          <w:sz w:val="24"/>
          <w:highlight w:val="none"/>
          <w:lang w:eastAsia="zh-CN"/>
        </w:rPr>
        <w:t>按实结算，每月一结，医疗废物处置数量按实际产生量结算。</w:t>
      </w:r>
    </w:p>
    <w:p w14:paraId="3BF84BB5">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三、技术要求</w:t>
      </w:r>
    </w:p>
    <w:p w14:paraId="3910941D">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）服务要求</w:t>
      </w:r>
    </w:p>
    <w:p w14:paraId="11A2044E">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1.中标人须具备医疗废物集中处置资质，经营范围符合国家医废处置相关规定，处置流程达到无害化标准。</w:t>
      </w:r>
    </w:p>
    <w:p w14:paraId="5F86BAB5">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2.转运车辆须符合《医疗废物转运车技术要求》，配备明显医废警示标识，驾驶员与押运人员经专业培训，防止运输过程中丢失、泄漏、遗撒及二次污染。</w:t>
      </w:r>
    </w:p>
    <w:p w14:paraId="101429EB">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3.每日派专用车辆清运全部医废，不得遗留；常规收运不超过48小时；应急情况接通知后及时清运；节假日需协商清运时间，暂存时间不得超过48小时；特殊情况无法及时清运须提前告知。</w:t>
      </w:r>
    </w:p>
    <w:p w14:paraId="1195B170">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4.提供充足、无破损、无渗漏的周转设施，每月免费提供符合标准的医废专用袋、利器盒等耗材。</w:t>
      </w:r>
    </w:p>
    <w:p w14:paraId="7ACC0D7A">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5.对清运人员进行医废专业培训，与院方做好交接登记，完整准确填写《转移联单》《医疗废物运送登记卡》，信息化数据核对无误后上传。</w:t>
      </w:r>
    </w:p>
    <w:p w14:paraId="6B97EB82">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6.突发事件无法清运时，须2小时内通知医院，48小时内启动应急预案并恢复清运；无正当理由缓运、拒运、少收或造成废物流失、扩散，一切损失由</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承担。</w:t>
      </w:r>
    </w:p>
    <w:p w14:paraId="55F5C918">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7.工作人员遵守医院规章制度，文明作业，对自身安全负责。</w:t>
      </w:r>
    </w:p>
    <w:p w14:paraId="0A632680">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8.合同签订次日起立即正常服务，延误或无法处置须承担全部责任与经济损失，医院有权取消</w:t>
      </w:r>
      <w:r>
        <w:rPr>
          <w:rFonts w:hint="eastAsia" w:ascii="宋体" w:hAnsi="宋体" w:cs="宋体"/>
          <w:color w:val="auto"/>
          <w:sz w:val="24"/>
          <w:szCs w:val="24"/>
          <w:highlight w:val="none"/>
          <w:lang w:val="en-US" w:eastAsia="zh-CN"/>
        </w:rPr>
        <w:t>中标人的</w:t>
      </w:r>
      <w:r>
        <w:rPr>
          <w:rFonts w:hint="eastAsia" w:ascii="宋体" w:hAnsi="宋体" w:eastAsia="宋体" w:cs="宋体"/>
          <w:color w:val="auto"/>
          <w:sz w:val="24"/>
          <w:szCs w:val="24"/>
          <w:highlight w:val="none"/>
          <w:lang w:val="en-US" w:eastAsia="zh-CN"/>
        </w:rPr>
        <w:t>中标资格并解除合同。</w:t>
      </w:r>
    </w:p>
    <w:p w14:paraId="597F0447">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（二）验收标准：</w:t>
      </w:r>
    </w:p>
    <w:p w14:paraId="1CDE6EE3">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资质核验：确认供应商的《危险废物经营许可证》、《道路危险货物运输许可证》及人员从业资格证持续有效。</w:t>
      </w:r>
    </w:p>
    <w:p w14:paraId="45CF5C96">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分类收集：严格按感染性、损伤性等五类废物分类，使用专用包装容器，标签规范，无渗漏破损。</w:t>
      </w:r>
    </w:p>
    <w:p w14:paraId="32712FC4">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院内转运与暂存：专用车辆按规定路线、时间转运；暂存点符合防渗漏、防鼠等“六防”要求，暂存不超48小时，每次转运后清洗消毒并记录。</w:t>
      </w:r>
    </w:p>
    <w:p w14:paraId="79A67F9E">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处置结果：处置方式须与许可证核准方式一致，每次处置后提供规范的回执或报告，确保无害化。</w:t>
      </w:r>
    </w:p>
    <w:p w14:paraId="46448F2C">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应急与安全：有应急预案并定期演练，人员防护穿戴规范，发生意外事故按规定报告和处置。</w:t>
      </w:r>
    </w:p>
    <w:p w14:paraId="51C493E7">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验收时，应成立验收小组，对照合同和投标文件，将上述标准逐项量化考核，形成验收书。</w:t>
      </w:r>
    </w:p>
    <w:p w14:paraId="5C7E8624">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）其他要求</w:t>
      </w:r>
    </w:p>
    <w:p w14:paraId="307E3006">
      <w:pPr>
        <w:pStyle w:val="114"/>
        <w:adjustRightInd w:val="0"/>
        <w:spacing w:line="360" w:lineRule="auto"/>
        <w:ind w:firstLine="480"/>
        <w:contextualSpacing/>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color w:val="auto"/>
          <w:sz w:val="24"/>
          <w:szCs w:val="24"/>
          <w:highlight w:val="none"/>
          <w:u w:val="single"/>
        </w:rPr>
        <w:t xml:space="preserve"> 0 </w:t>
      </w:r>
      <w:r>
        <w:rPr>
          <w:rFonts w:hint="eastAsia" w:ascii="宋体" w:hAnsi="宋体" w:cs="宋体"/>
          <w:color w:val="auto"/>
          <w:sz w:val="24"/>
          <w:szCs w:val="24"/>
          <w:highlight w:val="none"/>
        </w:rPr>
        <w:t>%。</w:t>
      </w:r>
    </w:p>
    <w:p w14:paraId="1DD7457E">
      <w:pPr>
        <w:pStyle w:val="114"/>
        <w:adjustRightInd w:val="0"/>
        <w:spacing w:line="360" w:lineRule="auto"/>
        <w:ind w:firstLine="482"/>
        <w:contextualSpacing/>
        <w:jc w:val="left"/>
        <w:rPr>
          <w:rFonts w:hint="eastAsia" w:ascii="宋体" w:hAnsi="宋体" w:cs="宋体"/>
          <w:color w:val="auto"/>
          <w:sz w:val="24"/>
          <w:szCs w:val="24"/>
          <w:highlight w:val="none"/>
        </w:rPr>
      </w:pPr>
      <w:r>
        <w:rPr>
          <w:rFonts w:hint="eastAsia" w:ascii="宋体" w:hAnsi="宋体" w:cs="宋体"/>
          <w:b/>
          <w:bCs/>
          <w:color w:val="auto"/>
          <w:sz w:val="24"/>
          <w:highlight w:val="none"/>
        </w:rPr>
        <w:t>情况说明</w:t>
      </w:r>
      <w:r>
        <w:rPr>
          <w:rFonts w:hint="eastAsia" w:ascii="宋体" w:hAnsi="宋体" w:cs="宋体"/>
          <w:color w:val="auto"/>
          <w:sz w:val="24"/>
          <w:highlight w:val="none"/>
        </w:rPr>
        <w:t>：预留采购份额无法确保充分供应、充分竞争，存在可能影响政府采购目标实现的情形。</w:t>
      </w:r>
    </w:p>
    <w:p w14:paraId="3C1FDAE0">
      <w:pPr>
        <w:keepNext w:val="0"/>
        <w:keepLines w:val="0"/>
        <w:pageBreakBefore w:val="0"/>
        <w:widowControl w:val="0"/>
        <w:spacing w:line="360" w:lineRule="auto"/>
        <w:ind w:firstLine="488"/>
        <w:outlineLvl w:val="9"/>
        <w:rPr>
          <w:rFonts w:hint="eastAsia" w:ascii="宋体" w:hAnsi="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none"/>
          <w:lang w:val="en-US" w:eastAsia="zh-CN"/>
        </w:rPr>
        <w:t>（四）报价方式</w:t>
      </w:r>
    </w:p>
    <w:p w14:paraId="7AD16FC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本项目报价为</w:t>
      </w:r>
      <w:r>
        <w:rPr>
          <w:rFonts w:hint="eastAsia" w:ascii="宋体" w:hAnsi="宋体" w:cs="宋体"/>
          <w:b/>
          <w:bCs/>
          <w:color w:val="auto"/>
          <w:sz w:val="24"/>
          <w:highlight w:val="none"/>
          <w:u w:val="none"/>
          <w:lang w:val="en-US" w:eastAsia="zh-CN"/>
        </w:rPr>
        <w:t>固定单价</w:t>
      </w:r>
      <w:r>
        <w:rPr>
          <w:rFonts w:hint="eastAsia" w:ascii="宋体" w:hAnsi="宋体" w:cs="宋体"/>
          <w:color w:val="auto"/>
          <w:sz w:val="24"/>
          <w:highlight w:val="none"/>
          <w:u w:val="none"/>
          <w:lang w:val="en-US" w:eastAsia="zh-CN"/>
        </w:rPr>
        <w:t>，投标报价应包括采购文件所确定的采购范围相应服务的提供、人工费用（专职收集、转运人员的工资、津贴、社保、体检及职业防护用品费用）、运输工具费用（专用医疗废物转运车辆的购置或租赁、折旧、维修、保险、燃油、路桥等费用）、包装材料费用（专用包装袋、利器盒、周转箱（桶）的购置与更换费用）、贮存与处置费</w:t>
      </w:r>
      <w:r>
        <w:rPr>
          <w:rFonts w:hint="eastAsia" w:ascii="宋体" w:hAnsi="宋体" w:eastAsia="宋体" w:cs="宋体"/>
          <w:color w:val="auto"/>
          <w:sz w:val="24"/>
          <w:highlight w:val="none"/>
          <w:u w:val="none"/>
          <w:lang w:val="en-US" w:eastAsia="zh-CN"/>
        </w:rPr>
        <w:t>用、转移联单管理费用、检测与监测费用、</w:t>
      </w:r>
      <w:r>
        <w:rPr>
          <w:rFonts w:hint="eastAsia" w:ascii="宋体" w:hAnsi="宋体" w:cs="宋体"/>
          <w:color w:val="auto"/>
          <w:sz w:val="24"/>
          <w:highlight w:val="none"/>
          <w:u w:val="none"/>
          <w:lang w:val="en-US" w:eastAsia="zh-CN"/>
        </w:rPr>
        <w:t>办公场所及设施、不可预见费用、保险、劳保、管理、各种税费、利润、税金、政策性文件规定及合同包含的所有风险、责任等各项应有费用，以及为完成该项服务项目所涉及到的一切相关费用，采购人不再支付其他任何费用。</w:t>
      </w:r>
    </w:p>
    <w:p w14:paraId="07948D2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highlight w:val="none"/>
          <w:u w:val="none"/>
          <w:lang w:val="en-US" w:eastAsia="zh-CN"/>
        </w:rPr>
      </w:pPr>
    </w:p>
    <w:p w14:paraId="03457DE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Theme="majorEastAsia" w:hAnsiTheme="majorEastAsia" w:eastAsiaTheme="majorEastAsia"/>
          <w:b/>
          <w:bCs/>
          <w:color w:val="auto"/>
          <w:sz w:val="44"/>
          <w:szCs w:val="44"/>
          <w:highlight w:val="none"/>
        </w:rPr>
      </w:pPr>
      <w:r>
        <w:rPr>
          <w:rFonts w:hint="eastAsia" w:ascii="宋体" w:hAnsi="宋体" w:cs="宋体"/>
          <w:color w:val="auto"/>
          <w:sz w:val="24"/>
          <w:highlight w:val="none"/>
          <w:u w:val="none"/>
          <w:lang w:eastAsia="zh-CN"/>
        </w:rPr>
        <w:br w:type="page"/>
      </w:r>
    </w:p>
    <w:bookmarkEnd w:id="813"/>
    <w:p w14:paraId="244B58E3">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14"/>
      <w:bookmarkEnd w:id="815"/>
    </w:p>
    <w:p w14:paraId="6A2B0B4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bookmarkStart w:id="816" w:name="_Toc99301426"/>
      <w:bookmarkStart w:id="817" w:name="_Toc18832"/>
    </w:p>
    <w:p w14:paraId="6E16C45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常州市中医医院</w:t>
      </w:r>
      <w:r>
        <w:rPr>
          <w:rFonts w:hint="eastAsia" w:ascii="宋体" w:hAnsi="宋体" w:eastAsia="宋体" w:cs="宋体"/>
          <w:color w:val="auto"/>
          <w:sz w:val="24"/>
          <w:szCs w:val="24"/>
          <w:highlight w:val="none"/>
          <w:u w:val="single"/>
        </w:rPr>
        <w:t xml:space="preserve"> </w:t>
      </w:r>
    </w:p>
    <w:p w14:paraId="77A1AC7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hAnsi="宋体" w:cs="宋体"/>
          <w:b/>
          <w:color w:val="auto"/>
          <w:sz w:val="24"/>
          <w:szCs w:val="24"/>
          <w:highlight w:val="none"/>
          <w:lang w:val="en-US" w:eastAsia="zh-CN"/>
        </w:rPr>
        <w:t>投标人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p>
    <w:p w14:paraId="575D520D">
      <w:pPr>
        <w:pStyle w:val="4"/>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0AA79D2F">
      <w:pPr>
        <w:pStyle w:val="4"/>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06C4CF4E">
      <w:pPr>
        <w:pStyle w:val="4"/>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10F2EE0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AB3FC07">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76784479">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49748A3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44A17981">
      <w:pPr>
        <w:pStyle w:val="24"/>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w:t>
      </w:r>
    </w:p>
    <w:p w14:paraId="1CABA97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包括采购文件所确定的采购范围相应服务的提供、人工费用</w:t>
      </w:r>
      <w:r>
        <w:rPr>
          <w:rFonts w:hint="eastAsia"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专职收集、转运人员的工资、津贴、社保、体检及职业防护用品费用</w:t>
      </w:r>
      <w:r>
        <w:rPr>
          <w:rFonts w:hint="eastAsia"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运输工具费用（专用医疗废物转运车辆的购置或租赁、折旧、维修、保险、燃油、路桥等费用）、包装材料费用（专用包装袋、利器盒、周转箱（桶）的购置与更换费用）、贮存与处置</w:t>
      </w:r>
      <w:r>
        <w:rPr>
          <w:rFonts w:hint="eastAsia" w:hAnsi="宋体" w:cs="宋体"/>
          <w:color w:val="auto"/>
          <w:spacing w:val="2"/>
          <w:sz w:val="24"/>
          <w:szCs w:val="24"/>
          <w:highlight w:val="none"/>
          <w:u w:val="none"/>
          <w:lang w:val="en-US" w:eastAsia="zh-CN"/>
        </w:rPr>
        <w:t>费用</w:t>
      </w:r>
      <w:r>
        <w:rPr>
          <w:rFonts w:hint="eastAsia" w:ascii="宋体" w:hAnsi="宋体" w:eastAsia="宋体" w:cs="宋体"/>
          <w:color w:val="auto"/>
          <w:sz w:val="24"/>
          <w:highlight w:val="none"/>
          <w:u w:val="none"/>
          <w:lang w:val="en-US" w:eastAsia="zh-CN"/>
        </w:rPr>
        <w:t>、转移联单管理费用、检测与监测费用、</w:t>
      </w:r>
      <w:r>
        <w:rPr>
          <w:rFonts w:hint="eastAsia" w:ascii="宋体" w:hAnsi="宋体" w:eastAsia="宋体" w:cs="宋体"/>
          <w:color w:val="auto"/>
          <w:spacing w:val="2"/>
          <w:sz w:val="24"/>
          <w:szCs w:val="24"/>
          <w:highlight w:val="none"/>
          <w:u w:val="none"/>
          <w:lang w:val="en-US" w:eastAsia="zh-CN"/>
        </w:rPr>
        <w:t>办公场所及设施、不可预见费用、保险、劳保、管理、各种税费、利润、税金、政策性文件规定及合同包含的所有风险、责任等各项应有费用，以及为完成该项服务项目所涉及到的一切相关费用，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723AA54F">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01D2DDF4">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4FE61A8F">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5315943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hAnsi="宋体" w:cs="宋体"/>
          <w:color w:val="auto"/>
          <w:sz w:val="24"/>
          <w:szCs w:val="24"/>
          <w:highlight w:val="none"/>
          <w:lang w:val="en-US" w:eastAsia="zh-CN"/>
        </w:rPr>
        <w:t>招标</w:t>
      </w:r>
      <w:r>
        <w:rPr>
          <w:rFonts w:hint="eastAsia" w:hAnsi="宋体" w:cs="宋体"/>
          <w:color w:val="auto"/>
          <w:sz w:val="24"/>
          <w:szCs w:val="24"/>
          <w:highlight w:val="none"/>
          <w:lang w:eastAsia="zh-CN"/>
        </w:rPr>
        <w:t>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JSZC-320400-SYZB-G2026-0046</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90791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hAnsi="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4F6C0833">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1F0578B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7D8D9F1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20A4A8A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57FCD05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43A916A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结算方式：固定</w:t>
      </w:r>
      <w:r>
        <w:rPr>
          <w:rFonts w:hint="eastAsia" w:ascii="宋体" w:hAnsi="宋体" w:cs="宋体"/>
          <w:color w:val="auto"/>
          <w:sz w:val="24"/>
          <w:szCs w:val="24"/>
          <w:highlight w:val="none"/>
          <w:lang w:val="en-US" w:eastAsia="zh-CN"/>
        </w:rPr>
        <w:t>单价，按实结算，每月一结，医疗废物处置数量按实际产生量结算</w:t>
      </w:r>
      <w:r>
        <w:rPr>
          <w:rFonts w:hint="eastAsia" w:ascii="宋体" w:hAnsi="宋体" w:eastAsia="宋体" w:cs="宋体"/>
          <w:color w:val="auto"/>
          <w:sz w:val="24"/>
          <w:szCs w:val="24"/>
          <w:highlight w:val="none"/>
          <w:lang w:val="en-US" w:eastAsia="zh-CN"/>
        </w:rPr>
        <w:t>。</w:t>
      </w:r>
    </w:p>
    <w:p w14:paraId="6827AF15">
      <w:pPr>
        <w:spacing w:line="360" w:lineRule="auto"/>
        <w:ind w:firstLine="480" w:firstLineChars="200"/>
        <w:contextualSpacing/>
        <w:rPr>
          <w:rFonts w:hint="eastAsia" w:ascii="宋体" w:hAnsi="宋体" w:cs="宋体"/>
          <w:bCs/>
          <w:color w:val="auto"/>
          <w:sz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w:t>
      </w:r>
      <w:r>
        <w:rPr>
          <w:rFonts w:hint="eastAsia" w:ascii="宋体" w:hAnsi="宋体" w:cs="宋体"/>
          <w:bCs/>
          <w:color w:val="auto"/>
          <w:sz w:val="24"/>
          <w:highlight w:val="none"/>
          <w:lang w:eastAsia="zh-CN"/>
        </w:rPr>
        <w:t>按月结算，</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lang w:eastAsia="zh-CN"/>
        </w:rPr>
        <w:t>开具发票后，医院30个工作日内付款。</w:t>
      </w:r>
    </w:p>
    <w:p w14:paraId="0293A07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2E78DC68">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6769E75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3D747373">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47EA861">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16A1A794">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7D7FBB5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E86F3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41A5A73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06637AE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76D0F19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1DF6090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3D78360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6707BB0D">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61AF7D8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79144D5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517A758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00B3D51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0829B8E">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7377558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3.守约方于争议解决过程发生的费用（包括但不限于诉讼费、仲裁费、公证费、律师费、鉴定费、差旅费、保全费、担保费等），应由违约方承担。</w:t>
      </w:r>
    </w:p>
    <w:p w14:paraId="2039EDD2">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7F91C30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承诺履行合同，不向甲方进行商业贿赂或者提供不正当利益。</w:t>
      </w:r>
    </w:p>
    <w:p w14:paraId="1C34757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7D93CF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492DFC6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6EFA6D8E">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25D4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17BC529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048D7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3F1FB7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885C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39FCD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52CFE3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1CD1C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104F495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4FB6DB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CAA76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6097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0091C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6412D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03F553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540509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0103A2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p>
    <w:p w14:paraId="199F771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6"/>
      <w:bookmarkEnd w:id="817"/>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color w:val="auto"/>
          <w:highlight w:val="none"/>
        </w:rPr>
      </w:pPr>
      <w:r>
        <w:rPr>
          <w:rFonts w:hint="eastAsia"/>
          <w:color w:val="auto"/>
          <w:highlight w:val="none"/>
        </w:rPr>
        <w:t>致：江苏尚阳工程管理有限公司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w:t>
      </w:r>
      <w:r>
        <w:rPr>
          <w:rFonts w:hint="eastAsia"/>
          <w:color w:val="auto"/>
          <w:highlight w:val="none"/>
          <w:lang w:eastAsia="zh-CN"/>
        </w:rPr>
        <w:t>年</w:t>
      </w:r>
      <w:r>
        <w:rPr>
          <w:rFonts w:hint="eastAsia"/>
          <w:color w:val="auto"/>
          <w:highlight w:val="none"/>
        </w:rPr>
        <w:t>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4F47534B">
      <w:pPr>
        <w:spacing w:line="360" w:lineRule="auto"/>
        <w:rPr>
          <w:color w:val="auto"/>
          <w:sz w:val="24"/>
          <w:highlight w:val="none"/>
        </w:rPr>
      </w:pPr>
    </w:p>
    <w:p w14:paraId="024B70C6">
      <w:pPr>
        <w:tabs>
          <w:tab w:val="left" w:pos="5580"/>
        </w:tabs>
        <w:spacing w:line="360" w:lineRule="auto"/>
        <w:rPr>
          <w:color w:val="auto"/>
          <w:sz w:val="24"/>
          <w:highlight w:val="none"/>
        </w:rPr>
        <w:sectPr>
          <w:headerReference r:id="rId13" w:type="default"/>
          <w:footerReference r:id="rId14"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2F09858B">
      <w:pPr>
        <w:spacing w:line="360" w:lineRule="auto"/>
        <w:outlineLvl w:val="2"/>
        <w:rPr>
          <w:color w:val="auto"/>
          <w:sz w:val="24"/>
          <w:highlight w:val="none"/>
        </w:rPr>
      </w:pPr>
      <w:r>
        <w:rPr>
          <w:rFonts w:hint="eastAsia"/>
          <w:color w:val="auto"/>
          <w:sz w:val="24"/>
          <w:szCs w:val="20"/>
          <w:highlight w:val="none"/>
        </w:rPr>
        <w:t>2</w:t>
      </w:r>
      <w:r>
        <w:rPr>
          <w:color w:val="auto"/>
          <w:sz w:val="24"/>
          <w:szCs w:val="20"/>
          <w:highlight w:val="none"/>
        </w:rPr>
        <w:t xml:space="preserve"> </w:t>
      </w:r>
      <w:r>
        <w:rPr>
          <w:color w:val="auto"/>
          <w:sz w:val="24"/>
          <w:highlight w:val="none"/>
        </w:rPr>
        <w:t>本项目的特定资格要求</w:t>
      </w:r>
    </w:p>
    <w:p w14:paraId="78155DBE">
      <w:pPr>
        <w:widowControl/>
        <w:spacing w:line="360" w:lineRule="auto"/>
        <w:jc w:val="left"/>
        <w:rPr>
          <w:color w:val="auto"/>
          <w:sz w:val="24"/>
          <w:szCs w:val="20"/>
          <w:highlight w:val="none"/>
        </w:rPr>
      </w:pPr>
      <w:r>
        <w:rPr>
          <w:rFonts w:hint="eastAsia"/>
          <w:color w:val="auto"/>
          <w:sz w:val="24"/>
          <w:szCs w:val="20"/>
          <w:highlight w:val="none"/>
        </w:rPr>
        <w:t>2</w:t>
      </w:r>
      <w:r>
        <w:rPr>
          <w:color w:val="auto"/>
          <w:sz w:val="24"/>
          <w:szCs w:val="20"/>
          <w:highlight w:val="none"/>
        </w:rPr>
        <w:t>-</w:t>
      </w:r>
      <w:r>
        <w:rPr>
          <w:rFonts w:hint="eastAsia"/>
          <w:color w:val="auto"/>
          <w:sz w:val="24"/>
          <w:szCs w:val="20"/>
          <w:highlight w:val="none"/>
        </w:rPr>
        <w:t>1</w:t>
      </w:r>
      <w:r>
        <w:rPr>
          <w:color w:val="auto"/>
          <w:sz w:val="24"/>
          <w:szCs w:val="20"/>
          <w:highlight w:val="none"/>
        </w:rPr>
        <w:t>其他特定资格要求</w:t>
      </w:r>
    </w:p>
    <w:p w14:paraId="02D6774C">
      <w:pPr>
        <w:spacing w:line="360" w:lineRule="auto"/>
        <w:rPr>
          <w:rFonts w:hint="eastAsia"/>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 xml:space="preserve">）投标人具备有效的《危险废物经营许可证》（经营范围包含：处置医疗废物HW01）； </w:t>
      </w:r>
    </w:p>
    <w:p w14:paraId="4D81AD1A">
      <w:pPr>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）投标人具备有效的《道路危险货物运输许可证》（包含医疗废物、危险废物）。</w:t>
      </w:r>
    </w:p>
    <w:p w14:paraId="3B3ADA12">
      <w:pPr>
        <w:tabs>
          <w:tab w:val="left" w:pos="5580"/>
        </w:tabs>
        <w:spacing w:line="360" w:lineRule="auto"/>
        <w:rPr>
          <w:color w:val="auto"/>
          <w:sz w:val="24"/>
          <w:highlight w:val="none"/>
        </w:rPr>
        <w:sectPr>
          <w:headerReference r:id="rId15" w:type="default"/>
          <w:footerReference r:id="rId16"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77606766">
      <w:pPr>
        <w:spacing w:line="360" w:lineRule="auto"/>
        <w:rPr>
          <w:rFonts w:ascii="宋体" w:hAnsi="宋体"/>
          <w:b/>
          <w:color w:val="auto"/>
          <w:sz w:val="32"/>
          <w:szCs w:val="32"/>
          <w:highlight w:val="none"/>
        </w:rPr>
      </w:pPr>
      <w:r>
        <w:rPr>
          <w:rFonts w:ascii="宋体" w:hAnsi="宋体"/>
          <w:b/>
          <w:color w:val="auto"/>
          <w:sz w:val="32"/>
          <w:szCs w:val="32"/>
          <w:highlight w:val="none"/>
        </w:rPr>
        <w:t>二、商务技术文件格式</w:t>
      </w:r>
      <w:bookmarkStart w:id="818" w:name="_Toc142311058"/>
      <w:bookmarkStart w:id="819" w:name="_Toc127151556"/>
      <w:bookmarkStart w:id="820" w:name="_Toc150774761"/>
      <w:bookmarkStart w:id="821" w:name="_Toc226309800"/>
      <w:bookmarkStart w:id="822" w:name="_Ref467988698"/>
      <w:bookmarkStart w:id="823" w:name="_Toc226337252"/>
      <w:bookmarkStart w:id="824" w:name="_Toc226965746"/>
      <w:bookmarkStart w:id="825" w:name="_Toc520356217"/>
      <w:bookmarkStart w:id="826" w:name="_Toc480942349"/>
      <w:bookmarkStart w:id="827" w:name="_Toc150480794"/>
      <w:bookmarkStart w:id="828" w:name="_Toc195842921"/>
      <w:bookmarkStart w:id="829" w:name="_Toc226965829"/>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8"/>
      <w:bookmarkEnd w:id="819"/>
      <w:bookmarkEnd w:id="820"/>
      <w:bookmarkEnd w:id="821"/>
      <w:bookmarkEnd w:id="822"/>
      <w:bookmarkEnd w:id="823"/>
      <w:bookmarkEnd w:id="824"/>
      <w:bookmarkEnd w:id="825"/>
      <w:bookmarkEnd w:id="826"/>
      <w:bookmarkEnd w:id="827"/>
      <w:bookmarkEnd w:id="828"/>
      <w:bookmarkEnd w:id="829"/>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30" w:name="_Hlt520356243"/>
      <w:bookmarkEnd w:id="830"/>
      <w:bookmarkStart w:id="831" w:name="_Hlt520355938"/>
      <w:bookmarkEnd w:id="831"/>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lang w:val="en-US" w:eastAsia="zh-CN"/>
        </w:rPr>
        <w:t>成分</w:t>
      </w:r>
      <w:r>
        <w:rPr>
          <w:rFonts w:hint="eastAsia" w:ascii="宋体" w:hAnsi="宋体"/>
          <w:color w:val="auto"/>
          <w:sz w:val="24"/>
          <w:highlight w:val="none"/>
        </w:rPr>
        <w:t>，并对所提供资料的真实性负责。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8"/>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832" w:name="_Hlt520271212"/>
      <w:bookmarkEnd w:id="832"/>
      <w:bookmarkStart w:id="833" w:name="_Hlt520273711"/>
      <w:bookmarkEnd w:id="833"/>
      <w:bookmarkStart w:id="834" w:name="_Hlt520274121"/>
      <w:bookmarkEnd w:id="834"/>
      <w:bookmarkStart w:id="835" w:name="_Hlt520274065"/>
      <w:bookmarkEnd w:id="835"/>
      <w:bookmarkStart w:id="836" w:name="_Hlt520274407"/>
      <w:bookmarkEnd w:id="836"/>
      <w:bookmarkStart w:id="837" w:name="_Hlt520355504"/>
      <w:bookmarkEnd w:id="837"/>
      <w:bookmarkStart w:id="838" w:name="_Hlt520350918"/>
      <w:bookmarkEnd w:id="838"/>
      <w:bookmarkStart w:id="839" w:name="_Hlt520343000"/>
      <w:bookmarkEnd w:id="839"/>
      <w:bookmarkStart w:id="840" w:name="_Hlt520274393"/>
      <w:bookmarkEnd w:id="840"/>
      <w:bookmarkStart w:id="841" w:name="_Hlt520343392"/>
      <w:bookmarkEnd w:id="841"/>
      <w:bookmarkStart w:id="842" w:name="_Toc226309801"/>
      <w:bookmarkStart w:id="843" w:name="_Toc195842922"/>
      <w:bookmarkStart w:id="844" w:name="_Ref467988705"/>
      <w:bookmarkStart w:id="845" w:name="_Toc150774762"/>
      <w:bookmarkStart w:id="846" w:name="_Toc142311059"/>
      <w:bookmarkStart w:id="847" w:name="_Toc127151557"/>
      <w:bookmarkStart w:id="848" w:name="_Toc264969247"/>
      <w:bookmarkStart w:id="849" w:name="_Toc520356218"/>
      <w:bookmarkStart w:id="850" w:name="_Toc305158899"/>
      <w:bookmarkStart w:id="851" w:name="_Toc150480795"/>
      <w:bookmarkStart w:id="852" w:name="_Toc226965830"/>
      <w:bookmarkStart w:id="853" w:name="_Toc305158825"/>
      <w:bookmarkStart w:id="854" w:name="_Toc265228395"/>
      <w:bookmarkStart w:id="855" w:name="_Toc226965747"/>
      <w:bookmarkStart w:id="856" w:name="_Toc226337253"/>
      <w:bookmarkStart w:id="857" w:name="_Toc480942350"/>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45D7F321">
      <w:pPr>
        <w:tabs>
          <w:tab w:val="left" w:pos="2775"/>
          <w:tab w:val="center" w:pos="4153"/>
        </w:tabs>
        <w:autoSpaceDE w:val="0"/>
        <w:autoSpaceDN w:val="0"/>
        <w:adjustRightInd w:val="0"/>
        <w:spacing w:line="360" w:lineRule="auto"/>
        <w:jc w:val="center"/>
        <w:outlineLvl w:val="9"/>
        <w:rPr>
          <w:rFonts w:hint="eastAsia" w:eastAsia="宋体"/>
          <w:b/>
          <w:color w:val="auto"/>
          <w:sz w:val="36"/>
          <w:szCs w:val="36"/>
          <w:highlight w:val="none"/>
          <w:lang w:eastAsia="zh-CN"/>
        </w:rPr>
      </w:pPr>
      <w:bookmarkStart w:id="858" w:name="_Toc305158826"/>
      <w:bookmarkStart w:id="859" w:name="_Toc305158900"/>
      <w:bookmarkStart w:id="860" w:name="_Toc164608827"/>
      <w:bookmarkStart w:id="861" w:name="_Toc226965831"/>
      <w:bookmarkStart w:id="862" w:name="_Toc226309802"/>
      <w:bookmarkStart w:id="863" w:name="_Toc226965748"/>
      <w:bookmarkStart w:id="864" w:name="_Toc164608672"/>
      <w:bookmarkStart w:id="865" w:name="_Toc264969248"/>
      <w:bookmarkStart w:id="866" w:name="_Toc226337254"/>
      <w:bookmarkStart w:id="867" w:name="_Toc265228396"/>
      <w:bookmarkStart w:id="868" w:name="_Toc195842923"/>
      <w:bookmarkStart w:id="869" w:name="_Toc127151558"/>
      <w:bookmarkStart w:id="870" w:name="_Toc226965832"/>
      <w:bookmarkStart w:id="871" w:name="_Toc305158827"/>
      <w:bookmarkStart w:id="872" w:name="_Toc195842924"/>
      <w:bookmarkStart w:id="873" w:name="_Toc226965749"/>
      <w:bookmarkStart w:id="874" w:name="_Toc226309803"/>
      <w:bookmarkStart w:id="875" w:name="_Toc305158901"/>
      <w:bookmarkStart w:id="876" w:name="_Toc226337255"/>
      <w:bookmarkStart w:id="877" w:name="_Toc150480796"/>
      <w:bookmarkStart w:id="878" w:name="_Toc142311060"/>
      <w:bookmarkStart w:id="879" w:name="_Toc264969249"/>
      <w:bookmarkStart w:id="880" w:name="_Toc150774763"/>
      <w:bookmarkStart w:id="881" w:name="_Toc265228397"/>
      <w:r>
        <w:rPr>
          <w:rFonts w:hint="eastAsia"/>
          <w:b/>
          <w:color w:val="auto"/>
          <w:sz w:val="36"/>
          <w:szCs w:val="36"/>
          <w:highlight w:val="none"/>
        </w:rPr>
        <w:t>开标一览表</w:t>
      </w:r>
      <w:bookmarkEnd w:id="858"/>
      <w:bookmarkEnd w:id="859"/>
      <w:bookmarkEnd w:id="860"/>
      <w:bookmarkEnd w:id="861"/>
      <w:bookmarkEnd w:id="862"/>
      <w:bookmarkEnd w:id="863"/>
      <w:bookmarkEnd w:id="864"/>
      <w:bookmarkEnd w:id="865"/>
      <w:bookmarkEnd w:id="866"/>
      <w:bookmarkEnd w:id="867"/>
      <w:bookmarkEnd w:id="868"/>
    </w:p>
    <w:p w14:paraId="5E3B8DE1">
      <w:pPr>
        <w:tabs>
          <w:tab w:val="left" w:pos="1800"/>
          <w:tab w:val="left" w:pos="5580"/>
        </w:tabs>
        <w:spacing w:line="360" w:lineRule="auto"/>
        <w:jc w:val="left"/>
        <w:outlineLvl w:val="9"/>
        <w:rPr>
          <w:i/>
          <w:color w:val="auto"/>
          <w:sz w:val="24"/>
          <w:highlight w:val="none"/>
        </w:rPr>
      </w:pPr>
    </w:p>
    <w:p w14:paraId="739EBB31">
      <w:pPr>
        <w:tabs>
          <w:tab w:val="left" w:pos="1800"/>
          <w:tab w:val="left" w:pos="5580"/>
        </w:tabs>
        <w:spacing w:line="360" w:lineRule="auto"/>
        <w:ind w:firstLine="240" w:firstLineChars="100"/>
        <w:jc w:val="left"/>
        <w:outlineLvl w:val="9"/>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F88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615996F2">
            <w:pPr>
              <w:tabs>
                <w:tab w:val="left" w:pos="5580"/>
              </w:tabs>
              <w:jc w:val="center"/>
              <w:outlineLvl w:val="9"/>
              <w:rPr>
                <w:b/>
                <w:color w:val="auto"/>
                <w:sz w:val="24"/>
                <w:highlight w:val="none"/>
              </w:rPr>
            </w:pPr>
            <w:r>
              <w:rPr>
                <w:b/>
                <w:color w:val="auto"/>
                <w:sz w:val="24"/>
                <w:highlight w:val="none"/>
              </w:rPr>
              <w:t>序号</w:t>
            </w:r>
          </w:p>
        </w:tc>
        <w:tc>
          <w:tcPr>
            <w:tcW w:w="3709" w:type="dxa"/>
            <w:vMerge w:val="restart"/>
            <w:noWrap w:val="0"/>
            <w:vAlign w:val="center"/>
          </w:tcPr>
          <w:p w14:paraId="2D7D9368">
            <w:pPr>
              <w:tabs>
                <w:tab w:val="left" w:pos="5580"/>
              </w:tabs>
              <w:jc w:val="center"/>
              <w:outlineLvl w:val="9"/>
              <w:rPr>
                <w:b/>
                <w:color w:val="auto"/>
                <w:sz w:val="24"/>
                <w:highlight w:val="none"/>
              </w:rPr>
            </w:pPr>
            <w:r>
              <w:rPr>
                <w:b/>
                <w:color w:val="auto"/>
                <w:sz w:val="24"/>
                <w:highlight w:val="none"/>
              </w:rPr>
              <w:t>投标人名称</w:t>
            </w:r>
          </w:p>
        </w:tc>
        <w:tc>
          <w:tcPr>
            <w:tcW w:w="3973" w:type="dxa"/>
            <w:gridSpan w:val="2"/>
            <w:noWrap w:val="0"/>
            <w:vAlign w:val="center"/>
          </w:tcPr>
          <w:p w14:paraId="1C67AA3A">
            <w:pPr>
              <w:tabs>
                <w:tab w:val="left" w:pos="5580"/>
              </w:tabs>
              <w:jc w:val="center"/>
              <w:outlineLvl w:val="9"/>
              <w:rPr>
                <w:rFonts w:hint="eastAsia" w:eastAsia="宋体"/>
                <w:b/>
                <w:color w:val="auto"/>
                <w:sz w:val="24"/>
                <w:highlight w:val="none"/>
                <w:lang w:eastAsia="zh-CN"/>
              </w:rPr>
            </w:pPr>
            <w:r>
              <w:rPr>
                <w:b/>
                <w:color w:val="auto"/>
                <w:sz w:val="24"/>
                <w:highlight w:val="none"/>
              </w:rPr>
              <w:t>投标报价</w:t>
            </w:r>
            <w:r>
              <w:rPr>
                <w:rFonts w:hint="eastAsia"/>
                <w:b/>
                <w:color w:val="auto"/>
                <w:sz w:val="24"/>
                <w:highlight w:val="none"/>
                <w:lang w:eastAsia="zh-CN"/>
              </w:rPr>
              <w:t>（</w:t>
            </w:r>
            <w:r>
              <w:rPr>
                <w:rFonts w:hint="eastAsia"/>
                <w:b/>
                <w:color w:val="auto"/>
                <w:sz w:val="24"/>
                <w:highlight w:val="none"/>
                <w:lang w:val="en-US" w:eastAsia="zh-CN"/>
              </w:rPr>
              <w:t>人民币：元/自合同签订之日起二年</w:t>
            </w:r>
            <w:r>
              <w:rPr>
                <w:rFonts w:hint="eastAsia"/>
                <w:b/>
                <w:color w:val="auto"/>
                <w:sz w:val="24"/>
                <w:highlight w:val="none"/>
                <w:lang w:eastAsia="zh-CN"/>
              </w:rPr>
              <w:t>）</w:t>
            </w:r>
          </w:p>
        </w:tc>
      </w:tr>
      <w:tr w14:paraId="4C34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2C2C3741">
            <w:pPr>
              <w:tabs>
                <w:tab w:val="left" w:pos="5580"/>
              </w:tabs>
              <w:jc w:val="center"/>
              <w:outlineLvl w:val="9"/>
              <w:rPr>
                <w:color w:val="auto"/>
                <w:sz w:val="24"/>
                <w:highlight w:val="none"/>
              </w:rPr>
            </w:pPr>
          </w:p>
        </w:tc>
        <w:tc>
          <w:tcPr>
            <w:tcW w:w="3709" w:type="dxa"/>
            <w:vMerge w:val="continue"/>
            <w:noWrap w:val="0"/>
            <w:vAlign w:val="center"/>
          </w:tcPr>
          <w:p w14:paraId="121E6DE1">
            <w:pPr>
              <w:tabs>
                <w:tab w:val="left" w:pos="5580"/>
              </w:tabs>
              <w:jc w:val="center"/>
              <w:outlineLvl w:val="9"/>
              <w:rPr>
                <w:color w:val="auto"/>
                <w:sz w:val="24"/>
                <w:highlight w:val="none"/>
              </w:rPr>
            </w:pPr>
          </w:p>
        </w:tc>
        <w:tc>
          <w:tcPr>
            <w:tcW w:w="1989" w:type="dxa"/>
            <w:noWrap w:val="0"/>
            <w:vAlign w:val="center"/>
          </w:tcPr>
          <w:p w14:paraId="57DB6779">
            <w:pPr>
              <w:tabs>
                <w:tab w:val="left" w:pos="5580"/>
              </w:tabs>
              <w:jc w:val="center"/>
              <w:outlineLvl w:val="9"/>
              <w:rPr>
                <w:b/>
                <w:color w:val="auto"/>
                <w:sz w:val="24"/>
                <w:highlight w:val="none"/>
              </w:rPr>
            </w:pPr>
            <w:r>
              <w:rPr>
                <w:b/>
                <w:color w:val="auto"/>
                <w:sz w:val="24"/>
                <w:highlight w:val="none"/>
              </w:rPr>
              <w:t>大写</w:t>
            </w:r>
          </w:p>
        </w:tc>
        <w:tc>
          <w:tcPr>
            <w:tcW w:w="1984" w:type="dxa"/>
            <w:noWrap w:val="0"/>
            <w:vAlign w:val="center"/>
          </w:tcPr>
          <w:p w14:paraId="0D921756">
            <w:pPr>
              <w:tabs>
                <w:tab w:val="left" w:pos="5580"/>
              </w:tabs>
              <w:jc w:val="center"/>
              <w:outlineLvl w:val="9"/>
              <w:rPr>
                <w:b/>
                <w:color w:val="auto"/>
                <w:sz w:val="24"/>
                <w:highlight w:val="none"/>
              </w:rPr>
            </w:pPr>
            <w:r>
              <w:rPr>
                <w:b/>
                <w:color w:val="auto"/>
                <w:sz w:val="24"/>
                <w:highlight w:val="none"/>
              </w:rPr>
              <w:t>小写</w:t>
            </w:r>
          </w:p>
        </w:tc>
      </w:tr>
      <w:tr w14:paraId="3883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noWrap w:val="0"/>
            <w:vAlign w:val="center"/>
          </w:tcPr>
          <w:p w14:paraId="726588C9">
            <w:pPr>
              <w:tabs>
                <w:tab w:val="left" w:pos="5580"/>
              </w:tabs>
              <w:jc w:val="center"/>
              <w:outlineLvl w:val="9"/>
              <w:rPr>
                <w:color w:val="auto"/>
                <w:sz w:val="24"/>
                <w:highlight w:val="none"/>
              </w:rPr>
            </w:pPr>
          </w:p>
        </w:tc>
        <w:tc>
          <w:tcPr>
            <w:tcW w:w="3709" w:type="dxa"/>
            <w:noWrap w:val="0"/>
            <w:vAlign w:val="center"/>
          </w:tcPr>
          <w:p w14:paraId="4FE33DB2">
            <w:pPr>
              <w:tabs>
                <w:tab w:val="left" w:pos="5580"/>
              </w:tabs>
              <w:jc w:val="center"/>
              <w:outlineLvl w:val="9"/>
              <w:rPr>
                <w:color w:val="auto"/>
                <w:sz w:val="24"/>
                <w:highlight w:val="none"/>
              </w:rPr>
            </w:pPr>
          </w:p>
        </w:tc>
        <w:tc>
          <w:tcPr>
            <w:tcW w:w="1989" w:type="dxa"/>
            <w:noWrap w:val="0"/>
            <w:vAlign w:val="center"/>
          </w:tcPr>
          <w:p w14:paraId="3BCA2E51">
            <w:pPr>
              <w:tabs>
                <w:tab w:val="left" w:pos="5580"/>
              </w:tabs>
              <w:jc w:val="center"/>
              <w:outlineLvl w:val="9"/>
              <w:rPr>
                <w:color w:val="auto"/>
                <w:sz w:val="24"/>
                <w:highlight w:val="none"/>
              </w:rPr>
            </w:pPr>
          </w:p>
        </w:tc>
        <w:tc>
          <w:tcPr>
            <w:tcW w:w="1984" w:type="dxa"/>
            <w:noWrap w:val="0"/>
            <w:vAlign w:val="center"/>
          </w:tcPr>
          <w:p w14:paraId="3988C6C2">
            <w:pPr>
              <w:tabs>
                <w:tab w:val="left" w:pos="5580"/>
              </w:tabs>
              <w:jc w:val="center"/>
              <w:outlineLvl w:val="9"/>
              <w:rPr>
                <w:color w:val="auto"/>
                <w:sz w:val="24"/>
                <w:highlight w:val="none"/>
              </w:rPr>
            </w:pPr>
          </w:p>
        </w:tc>
      </w:tr>
    </w:tbl>
    <w:p w14:paraId="64ABD29D">
      <w:pPr>
        <w:autoSpaceDE w:val="0"/>
        <w:autoSpaceDN w:val="0"/>
        <w:adjustRightInd w:val="0"/>
        <w:jc w:val="left"/>
        <w:outlineLvl w:val="9"/>
        <w:rPr>
          <w:color w:val="auto"/>
          <w:kern w:val="0"/>
          <w:sz w:val="24"/>
          <w:highlight w:val="none"/>
        </w:rPr>
      </w:pPr>
    </w:p>
    <w:p w14:paraId="55157470">
      <w:pPr>
        <w:autoSpaceDE w:val="0"/>
        <w:autoSpaceDN w:val="0"/>
        <w:adjustRightInd w:val="0"/>
        <w:jc w:val="left"/>
        <w:outlineLvl w:val="9"/>
        <w:rPr>
          <w:color w:val="auto"/>
          <w:sz w:val="24"/>
          <w:szCs w:val="20"/>
          <w:highlight w:val="none"/>
        </w:rPr>
      </w:pPr>
      <w:r>
        <w:rPr>
          <w:color w:val="auto"/>
          <w:kern w:val="0"/>
          <w:sz w:val="24"/>
          <w:highlight w:val="none"/>
        </w:rPr>
        <w:t>注：</w:t>
      </w:r>
      <w:r>
        <w:rPr>
          <w:color w:val="auto"/>
          <w:sz w:val="24"/>
          <w:szCs w:val="20"/>
          <w:highlight w:val="none"/>
        </w:rPr>
        <w:t>此表的投标报价应和《投标分项报价表》中的总价相一致。</w:t>
      </w:r>
    </w:p>
    <w:p w14:paraId="23FD67B0">
      <w:pPr>
        <w:autoSpaceDE w:val="0"/>
        <w:autoSpaceDN w:val="0"/>
        <w:adjustRightInd w:val="0"/>
        <w:snapToGrid w:val="0"/>
        <w:spacing w:before="25" w:after="25" w:line="360" w:lineRule="auto"/>
        <w:outlineLvl w:val="9"/>
        <w:rPr>
          <w:color w:val="auto"/>
          <w:sz w:val="24"/>
          <w:highlight w:val="none"/>
          <w:lang w:val="zh-CN"/>
        </w:rPr>
      </w:pPr>
    </w:p>
    <w:p w14:paraId="2EAA134D">
      <w:pPr>
        <w:autoSpaceDE w:val="0"/>
        <w:autoSpaceDN w:val="0"/>
        <w:adjustRightInd w:val="0"/>
        <w:snapToGrid w:val="0"/>
        <w:spacing w:before="25" w:after="25" w:line="360" w:lineRule="auto"/>
        <w:outlineLvl w:val="9"/>
        <w:rPr>
          <w:color w:val="auto"/>
          <w:sz w:val="24"/>
          <w:highlight w:val="none"/>
          <w:lang w:val="zh-CN"/>
        </w:rPr>
      </w:pPr>
      <w:r>
        <w:rPr>
          <w:color w:val="auto"/>
          <w:sz w:val="24"/>
          <w:highlight w:val="none"/>
          <w:lang w:val="zh-CN"/>
        </w:rPr>
        <w:t xml:space="preserve">                         </w:t>
      </w:r>
    </w:p>
    <w:p w14:paraId="1CBAFBC3">
      <w:pPr>
        <w:autoSpaceDE w:val="0"/>
        <w:autoSpaceDN w:val="0"/>
        <w:adjustRightInd w:val="0"/>
        <w:snapToGrid w:val="0"/>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3A18BECA">
      <w:pPr>
        <w:autoSpaceDE w:val="0"/>
        <w:autoSpaceDN w:val="0"/>
        <w:adjustRightInd w:val="0"/>
        <w:snapToGrid w:val="0"/>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046836FE">
      <w:pPr>
        <w:spacing w:line="360" w:lineRule="auto"/>
        <w:outlineLvl w:val="9"/>
        <w:rPr>
          <w:rFonts w:hint="eastAsia"/>
          <w:color w:val="auto"/>
          <w:sz w:val="24"/>
          <w:szCs w:val="20"/>
          <w:highlight w:val="none"/>
        </w:rPr>
      </w:pPr>
      <w:r>
        <w:rPr>
          <w:color w:val="auto"/>
          <w:sz w:val="24"/>
          <w:szCs w:val="20"/>
          <w:highlight w:val="none"/>
        </w:rPr>
        <w:br w:type="page"/>
      </w:r>
    </w:p>
    <w:bookmarkEnd w:id="869"/>
    <w:bookmarkEnd w:id="870"/>
    <w:bookmarkEnd w:id="871"/>
    <w:bookmarkEnd w:id="872"/>
    <w:bookmarkEnd w:id="873"/>
    <w:bookmarkEnd w:id="874"/>
    <w:bookmarkEnd w:id="875"/>
    <w:bookmarkEnd w:id="876"/>
    <w:bookmarkEnd w:id="877"/>
    <w:bookmarkEnd w:id="878"/>
    <w:bookmarkEnd w:id="879"/>
    <w:bookmarkEnd w:id="880"/>
    <w:bookmarkEnd w:id="881"/>
    <w:p w14:paraId="56397A2B">
      <w:pPr>
        <w:spacing w:line="360" w:lineRule="auto"/>
        <w:outlineLvl w:val="2"/>
        <w:rPr>
          <w:b/>
          <w:bCs/>
          <w:color w:val="auto"/>
          <w:sz w:val="24"/>
          <w:szCs w:val="20"/>
          <w:highlight w:val="none"/>
        </w:rPr>
      </w:pPr>
      <w:bookmarkStart w:id="882" w:name="_Toc226965835"/>
      <w:bookmarkStart w:id="883" w:name="_Toc305158904"/>
      <w:bookmarkStart w:id="884" w:name="_Toc226965752"/>
      <w:bookmarkStart w:id="885" w:name="_Toc150480798"/>
      <w:bookmarkStart w:id="886" w:name="_Toc150774765"/>
      <w:bookmarkStart w:id="887" w:name="_Toc142311062"/>
      <w:bookmarkStart w:id="888" w:name="_Toc226309806"/>
      <w:bookmarkStart w:id="889" w:name="_Toc195842927"/>
      <w:bookmarkStart w:id="890" w:name="_Toc264969252"/>
      <w:bookmarkStart w:id="891" w:name="_Toc305158830"/>
      <w:bookmarkStart w:id="892" w:name="_Toc226337258"/>
      <w:bookmarkStart w:id="893" w:name="_Toc265228400"/>
      <w:bookmarkStart w:id="894" w:name="_Toc127151562"/>
      <w:bookmarkStart w:id="895" w:name="_Toc226309805"/>
      <w:bookmarkStart w:id="896" w:name="_Toc305158903"/>
      <w:bookmarkStart w:id="897" w:name="_Toc150774764"/>
      <w:bookmarkStart w:id="898" w:name="_Toc127151561"/>
      <w:bookmarkStart w:id="899" w:name="_Toc305158829"/>
      <w:bookmarkStart w:id="900" w:name="_Toc226965834"/>
      <w:bookmarkStart w:id="901" w:name="_Toc226337257"/>
      <w:bookmarkStart w:id="902" w:name="_Toc195842926"/>
      <w:bookmarkStart w:id="903" w:name="_Toc150480797"/>
      <w:bookmarkStart w:id="904" w:name="_Toc142311061"/>
      <w:bookmarkStart w:id="905" w:name="_Toc264969251"/>
      <w:bookmarkStart w:id="906" w:name="_Toc265228399"/>
      <w:bookmarkStart w:id="907" w:name="_Toc226965751"/>
      <w:r>
        <w:rPr>
          <w:rFonts w:hint="eastAsia"/>
          <w:color w:val="auto"/>
          <w:sz w:val="24"/>
          <w:szCs w:val="20"/>
          <w:highlight w:val="none"/>
        </w:rPr>
        <w:t>5</w:t>
      </w:r>
      <w:r>
        <w:rPr>
          <w:color w:val="auto"/>
          <w:sz w:val="24"/>
          <w:szCs w:val="20"/>
          <w:highlight w:val="none"/>
        </w:rPr>
        <w:t xml:space="preserve">  投标分项报价表</w:t>
      </w:r>
    </w:p>
    <w:p w14:paraId="70F2C7A8">
      <w:pPr>
        <w:tabs>
          <w:tab w:val="left" w:pos="2775"/>
          <w:tab w:val="center" w:pos="4153"/>
        </w:tabs>
        <w:autoSpaceDE w:val="0"/>
        <w:autoSpaceDN w:val="0"/>
        <w:adjustRightInd w:val="0"/>
        <w:spacing w:line="360" w:lineRule="auto"/>
        <w:jc w:val="center"/>
        <w:rPr>
          <w:rFonts w:hint="eastAsia" w:eastAsia="宋体"/>
          <w:b/>
          <w:color w:val="auto"/>
          <w:sz w:val="36"/>
          <w:szCs w:val="36"/>
          <w:highlight w:val="none"/>
          <w:lang w:eastAsia="zh-CN"/>
        </w:rPr>
      </w:pPr>
      <w:r>
        <w:rPr>
          <w:rFonts w:hint="eastAsia" w:eastAsia="宋体"/>
          <w:b/>
          <w:color w:val="auto"/>
          <w:sz w:val="36"/>
          <w:szCs w:val="36"/>
          <w:highlight w:val="none"/>
        </w:rPr>
        <w:t>投标分项报价表</w:t>
      </w:r>
    </w:p>
    <w:p w14:paraId="259521F5">
      <w:pPr>
        <w:keepNext w:val="0"/>
        <w:keepLines w:val="0"/>
        <w:pageBreakBefore w:val="0"/>
        <w:widowControl w:val="0"/>
        <w:tabs>
          <w:tab w:val="left" w:pos="1800"/>
          <w:tab w:val="left" w:pos="5580"/>
        </w:tabs>
        <w:kinsoku/>
        <w:wordWrap/>
        <w:overflowPunct/>
        <w:topLinePunct w:val="0"/>
        <w:autoSpaceDE/>
        <w:autoSpaceDN/>
        <w:bidi w:val="0"/>
        <w:adjustRightInd/>
        <w:snapToGrid/>
        <w:spacing w:after="233" w:afterLines="50"/>
        <w:textAlignment w:val="auto"/>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1802"/>
        <w:gridCol w:w="1889"/>
        <w:gridCol w:w="1082"/>
        <w:gridCol w:w="760"/>
        <w:gridCol w:w="1303"/>
        <w:gridCol w:w="1715"/>
      </w:tblGrid>
      <w:tr w14:paraId="771A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282" w:type="pct"/>
            <w:vMerge w:val="restart"/>
            <w:tcBorders>
              <w:top w:val="single" w:color="auto" w:sz="4" w:space="0"/>
              <w:left w:val="single" w:color="auto" w:sz="4" w:space="0"/>
              <w:right w:val="single" w:color="auto" w:sz="4" w:space="0"/>
            </w:tcBorders>
            <w:noWrap w:val="0"/>
            <w:vAlign w:val="center"/>
          </w:tcPr>
          <w:p w14:paraId="7B616A5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994" w:type="pct"/>
            <w:vMerge w:val="restart"/>
            <w:tcBorders>
              <w:top w:val="single" w:color="auto" w:sz="4" w:space="0"/>
              <w:left w:val="single" w:color="auto" w:sz="4" w:space="0"/>
              <w:right w:val="single" w:color="auto" w:sz="4" w:space="0"/>
            </w:tcBorders>
            <w:noWrap w:val="0"/>
            <w:vAlign w:val="center"/>
          </w:tcPr>
          <w:p w14:paraId="678F9DE5">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分项名称</w:t>
            </w:r>
          </w:p>
        </w:tc>
        <w:tc>
          <w:tcPr>
            <w:tcW w:w="1041" w:type="pct"/>
            <w:vMerge w:val="restart"/>
            <w:tcBorders>
              <w:top w:val="single" w:color="auto" w:sz="4" w:space="0"/>
              <w:left w:val="single" w:color="auto" w:sz="4" w:space="0"/>
              <w:right w:val="single" w:color="auto" w:sz="4" w:space="0"/>
            </w:tcBorders>
            <w:noWrap w:val="0"/>
            <w:vAlign w:val="center"/>
          </w:tcPr>
          <w:p w14:paraId="0E9190A1">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w:t>
            </w:r>
          </w:p>
        </w:tc>
        <w:tc>
          <w:tcPr>
            <w:tcW w:w="597" w:type="pct"/>
            <w:vMerge w:val="restart"/>
            <w:tcBorders>
              <w:top w:val="single" w:color="auto" w:sz="4" w:space="0"/>
              <w:left w:val="single" w:color="auto" w:sz="4" w:space="0"/>
              <w:right w:val="single" w:color="auto" w:sz="4" w:space="0"/>
            </w:tcBorders>
            <w:noWrap w:val="0"/>
            <w:vAlign w:val="center"/>
          </w:tcPr>
          <w:p w14:paraId="0E4C0BD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419" w:type="pct"/>
            <w:vMerge w:val="restart"/>
            <w:tcBorders>
              <w:top w:val="single" w:color="auto" w:sz="4" w:space="0"/>
              <w:left w:val="single" w:color="auto" w:sz="4" w:space="0"/>
              <w:right w:val="single" w:color="auto" w:sz="4" w:space="0"/>
            </w:tcBorders>
            <w:noWrap w:val="0"/>
            <w:vAlign w:val="center"/>
          </w:tcPr>
          <w:p w14:paraId="4CCBF83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1665" w:type="pct"/>
            <w:gridSpan w:val="2"/>
            <w:tcBorders>
              <w:top w:val="single" w:color="auto" w:sz="4" w:space="0"/>
              <w:left w:val="single" w:color="auto" w:sz="4" w:space="0"/>
              <w:right w:val="single" w:color="auto" w:sz="4" w:space="0"/>
            </w:tcBorders>
            <w:noWrap w:val="0"/>
            <w:vAlign w:val="center"/>
          </w:tcPr>
          <w:p w14:paraId="4AB25B0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投标价格</w:t>
            </w:r>
          </w:p>
        </w:tc>
      </w:tr>
      <w:tr w14:paraId="315D4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5" w:hRule="atLeast"/>
          <w:jc w:val="center"/>
        </w:trPr>
        <w:tc>
          <w:tcPr>
            <w:tcW w:w="282" w:type="pct"/>
            <w:vMerge w:val="continue"/>
            <w:tcBorders>
              <w:left w:val="single" w:color="auto" w:sz="4" w:space="0"/>
              <w:bottom w:val="single" w:color="auto" w:sz="4" w:space="0"/>
              <w:right w:val="single" w:color="auto" w:sz="4" w:space="0"/>
            </w:tcBorders>
            <w:noWrap w:val="0"/>
            <w:vAlign w:val="center"/>
          </w:tcPr>
          <w:p w14:paraId="0D15B648">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994" w:type="pct"/>
            <w:vMerge w:val="continue"/>
            <w:tcBorders>
              <w:left w:val="single" w:color="auto" w:sz="4" w:space="0"/>
              <w:bottom w:val="single" w:color="auto" w:sz="4" w:space="0"/>
              <w:right w:val="single" w:color="auto" w:sz="4" w:space="0"/>
            </w:tcBorders>
            <w:noWrap w:val="0"/>
            <w:vAlign w:val="center"/>
          </w:tcPr>
          <w:p w14:paraId="566D15B0">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1041" w:type="pct"/>
            <w:vMerge w:val="continue"/>
            <w:tcBorders>
              <w:left w:val="single" w:color="auto" w:sz="4" w:space="0"/>
              <w:bottom w:val="single" w:color="auto" w:sz="4" w:space="0"/>
              <w:right w:val="single" w:color="auto" w:sz="4" w:space="0"/>
            </w:tcBorders>
            <w:noWrap w:val="0"/>
            <w:vAlign w:val="center"/>
          </w:tcPr>
          <w:p w14:paraId="66C78772">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597" w:type="pct"/>
            <w:vMerge w:val="continue"/>
            <w:tcBorders>
              <w:left w:val="single" w:color="auto" w:sz="4" w:space="0"/>
              <w:bottom w:val="single" w:color="auto" w:sz="4" w:space="0"/>
              <w:right w:val="single" w:color="auto" w:sz="4" w:space="0"/>
            </w:tcBorders>
            <w:noWrap w:val="0"/>
            <w:vAlign w:val="center"/>
          </w:tcPr>
          <w:p w14:paraId="51B71F11">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419" w:type="pct"/>
            <w:vMerge w:val="continue"/>
            <w:tcBorders>
              <w:left w:val="single" w:color="auto" w:sz="4" w:space="0"/>
              <w:bottom w:val="single" w:color="auto" w:sz="4" w:space="0"/>
              <w:right w:val="single" w:color="auto" w:sz="4" w:space="0"/>
            </w:tcBorders>
            <w:noWrap w:val="0"/>
            <w:vAlign w:val="center"/>
          </w:tcPr>
          <w:p w14:paraId="1B409352">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719" w:type="pct"/>
            <w:tcBorders>
              <w:top w:val="single" w:color="auto" w:sz="4" w:space="0"/>
              <w:left w:val="single" w:color="auto" w:sz="4" w:space="0"/>
              <w:right w:val="single" w:color="auto" w:sz="4" w:space="0"/>
            </w:tcBorders>
            <w:noWrap w:val="0"/>
            <w:vAlign w:val="center"/>
          </w:tcPr>
          <w:p w14:paraId="03572B59">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单价</w:t>
            </w:r>
          </w:p>
        </w:tc>
        <w:tc>
          <w:tcPr>
            <w:tcW w:w="946" w:type="pct"/>
            <w:tcBorders>
              <w:top w:val="single" w:color="auto" w:sz="4" w:space="0"/>
              <w:left w:val="single" w:color="auto" w:sz="4" w:space="0"/>
              <w:right w:val="single" w:color="auto" w:sz="4" w:space="0"/>
            </w:tcBorders>
            <w:noWrap w:val="0"/>
            <w:vAlign w:val="center"/>
          </w:tcPr>
          <w:p w14:paraId="346A2908">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合价</w:t>
            </w:r>
          </w:p>
        </w:tc>
      </w:tr>
      <w:tr w14:paraId="3C26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82" w:type="pct"/>
            <w:tcBorders>
              <w:top w:val="single" w:color="auto" w:sz="4" w:space="0"/>
              <w:left w:val="single" w:color="auto" w:sz="4" w:space="0"/>
              <w:bottom w:val="single" w:color="auto" w:sz="4" w:space="0"/>
              <w:right w:val="single" w:color="auto" w:sz="4" w:space="0"/>
            </w:tcBorders>
            <w:noWrap w:val="0"/>
            <w:vAlign w:val="center"/>
          </w:tcPr>
          <w:p w14:paraId="6C9AB9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kern w:val="2"/>
                <w:sz w:val="24"/>
                <w:szCs w:val="24"/>
                <w:highlight w:val="none"/>
                <w:vertAlign w:val="baseline"/>
                <w:lang w:val="en-US" w:eastAsia="zh-CN" w:bidi="ar-SA"/>
              </w:rPr>
            </w:pPr>
            <w:r>
              <w:rPr>
                <w:rFonts w:hint="eastAsia" w:ascii="宋体" w:hAnsi="宋体" w:cs="宋体"/>
                <w:bCs/>
                <w:color w:val="auto"/>
                <w:kern w:val="2"/>
                <w:sz w:val="24"/>
                <w:szCs w:val="24"/>
                <w:highlight w:val="none"/>
                <w:vertAlign w:val="baseline"/>
                <w:lang w:val="en-US" w:eastAsia="zh-CN" w:bidi="ar-SA"/>
              </w:rPr>
              <w:t>1</w:t>
            </w:r>
          </w:p>
        </w:tc>
        <w:tc>
          <w:tcPr>
            <w:tcW w:w="9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693023">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spacing w:val="2"/>
                <w:sz w:val="24"/>
                <w:szCs w:val="24"/>
                <w:highlight w:val="none"/>
                <w:lang w:val="en-US" w:eastAsia="zh-CN"/>
              </w:rPr>
              <w:t>感染性、损伤性、化学性、药物性医废</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2856692D">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主要污染物及指标</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医疗废弃物</w:t>
            </w:r>
            <w:r>
              <w:rPr>
                <w:rFonts w:hint="eastAsia" w:ascii="宋体" w:hAnsi="宋体" w:cs="宋体"/>
                <w:b w:val="0"/>
                <w:bCs w:val="0"/>
                <w:color w:val="auto"/>
                <w:kern w:val="0"/>
                <w:sz w:val="24"/>
                <w:szCs w:val="24"/>
                <w:highlight w:val="none"/>
                <w:lang w:eastAsia="zh-CN"/>
              </w:rPr>
              <w:t>。</w:t>
            </w:r>
          </w:p>
          <w:p w14:paraId="43CA3EF7">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包装方式</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专用包装袋、利器盒</w:t>
            </w:r>
            <w:r>
              <w:rPr>
                <w:rFonts w:hint="eastAsia" w:ascii="宋体" w:hAnsi="宋体" w:cs="宋体"/>
                <w:b w:val="0"/>
                <w:bCs w:val="0"/>
                <w:color w:val="auto"/>
                <w:kern w:val="0"/>
                <w:sz w:val="24"/>
                <w:szCs w:val="24"/>
                <w:highlight w:val="none"/>
                <w:lang w:eastAsia="zh-CN"/>
              </w:rPr>
              <w:t>。</w:t>
            </w:r>
          </w:p>
          <w:p w14:paraId="4AE813A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cs="宋体"/>
                <w:color w:val="auto"/>
                <w:sz w:val="24"/>
                <w:szCs w:val="24"/>
                <w:highlight w:val="none"/>
              </w:rPr>
              <w:t>服务内容包括</w:t>
            </w:r>
            <w:r>
              <w:rPr>
                <w:rFonts w:hint="eastAsia" w:ascii="宋体" w:hAnsi="宋体" w:cs="宋体"/>
                <w:b w:val="0"/>
                <w:bCs w:val="0"/>
                <w:color w:val="auto"/>
                <w:kern w:val="0"/>
                <w:sz w:val="24"/>
                <w:szCs w:val="24"/>
                <w:highlight w:val="none"/>
                <w:lang w:eastAsia="zh-CN"/>
              </w:rPr>
              <w:t>医疗废弃物采集、运输、处理等。</w:t>
            </w:r>
          </w:p>
        </w:tc>
        <w:tc>
          <w:tcPr>
            <w:tcW w:w="59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712597">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900</w:t>
            </w:r>
          </w:p>
        </w:tc>
        <w:tc>
          <w:tcPr>
            <w:tcW w:w="419" w:type="pct"/>
            <w:tcBorders>
              <w:top w:val="single" w:color="auto" w:sz="4" w:space="0"/>
              <w:left w:val="single" w:color="auto" w:sz="4" w:space="0"/>
              <w:bottom w:val="single" w:color="auto" w:sz="4" w:space="0"/>
              <w:right w:val="single" w:color="auto" w:sz="4" w:space="0"/>
            </w:tcBorders>
            <w:noWrap w:val="0"/>
            <w:vAlign w:val="center"/>
          </w:tcPr>
          <w:p w14:paraId="5895BA1A">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吨</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BFB8DC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u w:val="single"/>
                <w:lang w:val="en-US" w:eastAsia="zh-CN"/>
              </w:rPr>
              <w:t xml:space="preserve">      </w:t>
            </w:r>
            <w:r>
              <w:rPr>
                <w:rFonts w:hint="eastAsia" w:ascii="宋体" w:hAnsi="宋体" w:cs="宋体"/>
                <w:b w:val="0"/>
                <w:bCs w:val="0"/>
                <w:color w:val="auto"/>
                <w:kern w:val="0"/>
                <w:sz w:val="24"/>
                <w:szCs w:val="24"/>
                <w:highlight w:val="none"/>
                <w:lang w:val="en-US" w:eastAsia="zh-CN"/>
              </w:rPr>
              <w:t>元/吨</w:t>
            </w:r>
          </w:p>
        </w:tc>
        <w:tc>
          <w:tcPr>
            <w:tcW w:w="946" w:type="pct"/>
            <w:tcBorders>
              <w:top w:val="single" w:color="auto" w:sz="4" w:space="0"/>
              <w:left w:val="single" w:color="auto" w:sz="4" w:space="0"/>
              <w:bottom w:val="single" w:color="auto" w:sz="4" w:space="0"/>
              <w:right w:val="single" w:color="auto" w:sz="4" w:space="0"/>
            </w:tcBorders>
            <w:noWrap w:val="0"/>
            <w:vAlign w:val="center"/>
          </w:tcPr>
          <w:p w14:paraId="2DDA0689">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 xml:space="preserve"> </w:t>
            </w:r>
          </w:p>
        </w:tc>
      </w:tr>
      <w:tr w14:paraId="3BFD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82" w:type="pct"/>
            <w:tcBorders>
              <w:top w:val="single" w:color="auto" w:sz="4" w:space="0"/>
              <w:left w:val="single" w:color="auto" w:sz="4" w:space="0"/>
              <w:bottom w:val="single" w:color="auto" w:sz="4" w:space="0"/>
              <w:right w:val="single" w:color="auto" w:sz="4" w:space="0"/>
            </w:tcBorders>
            <w:noWrap w:val="0"/>
            <w:vAlign w:val="center"/>
          </w:tcPr>
          <w:p w14:paraId="3790E9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kern w:val="2"/>
                <w:sz w:val="24"/>
                <w:szCs w:val="24"/>
                <w:highlight w:val="none"/>
                <w:vertAlign w:val="baseline"/>
                <w:lang w:val="en-US" w:eastAsia="zh-CN" w:bidi="ar-SA"/>
              </w:rPr>
            </w:pPr>
            <w:r>
              <w:rPr>
                <w:rFonts w:hint="eastAsia" w:ascii="宋体" w:hAnsi="宋体" w:cs="宋体"/>
                <w:bCs/>
                <w:color w:val="auto"/>
                <w:kern w:val="2"/>
                <w:sz w:val="24"/>
                <w:szCs w:val="24"/>
                <w:highlight w:val="none"/>
                <w:vertAlign w:val="baseline"/>
                <w:lang w:val="en-US" w:eastAsia="zh-CN" w:bidi="ar-SA"/>
              </w:rPr>
              <w:t>2</w:t>
            </w:r>
          </w:p>
        </w:tc>
        <w:tc>
          <w:tcPr>
            <w:tcW w:w="9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50078B0">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spacing w:val="2"/>
                <w:sz w:val="24"/>
                <w:szCs w:val="24"/>
                <w:highlight w:val="none"/>
                <w:lang w:val="en-US" w:eastAsia="zh-CN"/>
              </w:rPr>
              <w:t>病理性医废</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44A33B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主要污染物及指标</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病理性医疗废弃物</w:t>
            </w:r>
            <w:r>
              <w:rPr>
                <w:rFonts w:hint="eastAsia" w:ascii="宋体" w:hAnsi="宋体" w:cs="宋体"/>
                <w:b w:val="0"/>
                <w:bCs w:val="0"/>
                <w:color w:val="auto"/>
                <w:kern w:val="0"/>
                <w:sz w:val="24"/>
                <w:szCs w:val="24"/>
                <w:highlight w:val="none"/>
                <w:lang w:eastAsia="zh-CN"/>
              </w:rPr>
              <w:t>。</w:t>
            </w:r>
          </w:p>
          <w:p w14:paraId="5B7396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Times New Roman"/>
                <w:color w:val="auto"/>
                <w:spacing w:val="2"/>
                <w:sz w:val="24"/>
                <w:szCs w:val="24"/>
                <w:highlight w:val="none"/>
                <w:lang w:val="en-US"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包装方式</w:t>
            </w:r>
            <w:r>
              <w:rPr>
                <w:rFonts w:hint="eastAsia" w:ascii="宋体" w:hAnsi="宋体" w:cs="宋体"/>
                <w:b w:val="0"/>
                <w:bCs w:val="0"/>
                <w:color w:val="auto"/>
                <w:kern w:val="0"/>
                <w:sz w:val="24"/>
                <w:szCs w:val="24"/>
                <w:highlight w:val="none"/>
                <w:lang w:eastAsia="zh-CN"/>
              </w:rPr>
              <w:t>：</w:t>
            </w:r>
            <w:r>
              <w:rPr>
                <w:rFonts w:hint="eastAsia" w:ascii="宋体" w:hAnsi="宋体" w:eastAsia="宋体" w:cs="Times New Roman"/>
                <w:color w:val="auto"/>
                <w:spacing w:val="2"/>
                <w:sz w:val="24"/>
                <w:szCs w:val="24"/>
                <w:highlight w:val="none"/>
                <w:lang w:val="en-US" w:eastAsia="zh-CN"/>
              </w:rPr>
              <w:t>专用密封容器</w:t>
            </w:r>
            <w:r>
              <w:rPr>
                <w:rFonts w:hint="eastAsia" w:ascii="宋体" w:hAnsi="宋体" w:cs="Times New Roman"/>
                <w:color w:val="auto"/>
                <w:spacing w:val="2"/>
                <w:sz w:val="24"/>
                <w:szCs w:val="24"/>
                <w:highlight w:val="none"/>
                <w:lang w:val="en-US" w:eastAsia="zh-CN"/>
              </w:rPr>
              <w:t>。</w:t>
            </w:r>
          </w:p>
          <w:p w14:paraId="543D1E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cs="宋体"/>
                <w:color w:val="auto"/>
                <w:sz w:val="24"/>
                <w:szCs w:val="24"/>
                <w:highlight w:val="none"/>
              </w:rPr>
              <w:t>服务内容包括</w:t>
            </w:r>
            <w:r>
              <w:rPr>
                <w:rFonts w:hint="eastAsia" w:ascii="宋体" w:hAnsi="宋体" w:cs="宋体"/>
                <w:b w:val="0"/>
                <w:bCs w:val="0"/>
                <w:color w:val="auto"/>
                <w:kern w:val="0"/>
                <w:sz w:val="24"/>
                <w:szCs w:val="24"/>
                <w:highlight w:val="none"/>
                <w:lang w:eastAsia="zh-CN"/>
              </w:rPr>
              <w:t>医疗废弃物采集、运输、处理等。</w:t>
            </w:r>
          </w:p>
        </w:tc>
        <w:tc>
          <w:tcPr>
            <w:tcW w:w="59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4BAB5F">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2000</w:t>
            </w:r>
          </w:p>
        </w:tc>
        <w:tc>
          <w:tcPr>
            <w:tcW w:w="419" w:type="pct"/>
            <w:tcBorders>
              <w:top w:val="single" w:color="auto" w:sz="4" w:space="0"/>
              <w:left w:val="single" w:color="auto" w:sz="4" w:space="0"/>
              <w:bottom w:val="single" w:color="auto" w:sz="4" w:space="0"/>
              <w:right w:val="single" w:color="auto" w:sz="4" w:space="0"/>
            </w:tcBorders>
            <w:noWrap w:val="0"/>
            <w:vAlign w:val="center"/>
          </w:tcPr>
          <w:p w14:paraId="41423C44">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公斤</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51F241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p>
          <w:p w14:paraId="3FC5D2D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none"/>
                <w:lang w:val="en-US" w:eastAsia="zh-CN"/>
              </w:rPr>
              <w:t>（</w:t>
            </w:r>
            <w:r>
              <w:rPr>
                <w:rFonts w:hint="eastAsia" w:ascii="宋体" w:hAnsi="宋体" w:eastAsia="宋体" w:cs="宋体"/>
                <w:b/>
                <w:bCs/>
                <w:color w:val="auto"/>
                <w:spacing w:val="2"/>
                <w:sz w:val="24"/>
                <w:szCs w:val="24"/>
                <w:highlight w:val="none"/>
                <w:u w:val="none"/>
                <w:lang w:val="en-US" w:eastAsia="zh-CN"/>
              </w:rPr>
              <w:t>处置费用</w:t>
            </w: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r>
              <w:rPr>
                <w:rFonts w:hint="eastAsia" w:ascii="宋体" w:hAnsi="宋体" w:eastAsia="宋体" w:cs="宋体"/>
                <w:b/>
                <w:bCs/>
                <w:color w:val="auto"/>
                <w:spacing w:val="2"/>
                <w:sz w:val="24"/>
                <w:szCs w:val="24"/>
                <w:highlight w:val="none"/>
                <w:u w:val="none"/>
                <w:lang w:val="en-US" w:eastAsia="zh-CN"/>
              </w:rPr>
              <w:t>+运输费用</w:t>
            </w:r>
          </w:p>
          <w:p w14:paraId="4A00394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bCs/>
                <w:color w:val="auto"/>
                <w:spacing w:val="2"/>
                <w:sz w:val="24"/>
                <w:szCs w:val="24"/>
                <w:highlight w:val="none"/>
                <w:u w:val="none"/>
                <w:lang w:val="en-US" w:eastAsia="zh-CN"/>
              </w:rPr>
              <w:t xml:space="preserve"> </w:t>
            </w: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p>
        </w:tc>
        <w:tc>
          <w:tcPr>
            <w:tcW w:w="946" w:type="pct"/>
            <w:tcBorders>
              <w:top w:val="single" w:color="auto" w:sz="4" w:space="0"/>
              <w:left w:val="single" w:color="auto" w:sz="4" w:space="0"/>
              <w:bottom w:val="single" w:color="auto" w:sz="4" w:space="0"/>
              <w:right w:val="single" w:color="auto" w:sz="4" w:space="0"/>
            </w:tcBorders>
            <w:noWrap w:val="0"/>
            <w:vAlign w:val="center"/>
          </w:tcPr>
          <w:p w14:paraId="76083E50">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val="en-US" w:eastAsia="zh-CN"/>
              </w:rPr>
            </w:pPr>
          </w:p>
        </w:tc>
      </w:tr>
      <w:tr w14:paraId="48B5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318" w:type="pct"/>
            <w:gridSpan w:val="3"/>
            <w:tcBorders>
              <w:top w:val="single" w:color="auto" w:sz="4" w:space="0"/>
              <w:left w:val="single" w:color="auto" w:sz="4" w:space="0"/>
              <w:bottom w:val="single" w:color="auto" w:sz="4" w:space="0"/>
              <w:right w:val="single" w:color="auto" w:sz="4" w:space="0"/>
            </w:tcBorders>
            <w:noWrap w:val="0"/>
            <w:vAlign w:val="center"/>
          </w:tcPr>
          <w:p w14:paraId="3DD02F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kern w:val="2"/>
                <w:sz w:val="24"/>
                <w:szCs w:val="24"/>
                <w:highlight w:val="none"/>
                <w:vertAlign w:val="baseline"/>
                <w:lang w:val="en-US" w:eastAsia="zh-CN" w:bidi="ar-SA"/>
              </w:rPr>
            </w:pPr>
            <w:r>
              <w:rPr>
                <w:rFonts w:hint="eastAsia" w:ascii="宋体" w:hAnsi="宋体" w:eastAsia="宋体" w:cs="宋体"/>
                <w:bCs/>
                <w:color w:val="auto"/>
                <w:kern w:val="2"/>
                <w:sz w:val="24"/>
                <w:szCs w:val="24"/>
                <w:highlight w:val="none"/>
                <w:vertAlign w:val="baseline"/>
                <w:lang w:val="en-US" w:eastAsia="zh-CN" w:bidi="ar-SA"/>
              </w:rPr>
              <w:t>总价</w:t>
            </w:r>
            <w:r>
              <w:rPr>
                <w:rFonts w:hint="eastAsia" w:ascii="宋体" w:hAnsi="宋体" w:cs="宋体"/>
                <w:bCs/>
                <w:color w:val="auto"/>
                <w:kern w:val="2"/>
                <w:sz w:val="24"/>
                <w:szCs w:val="24"/>
                <w:highlight w:val="none"/>
                <w:vertAlign w:val="baseline"/>
                <w:lang w:val="en-US" w:eastAsia="zh-CN" w:bidi="ar-SA"/>
              </w:rPr>
              <w:t>（元/自合同签订之日起二年）</w:t>
            </w:r>
          </w:p>
        </w:tc>
        <w:tc>
          <w:tcPr>
            <w:tcW w:w="2681" w:type="pct"/>
            <w:gridSpan w:val="4"/>
            <w:tcBorders>
              <w:top w:val="single" w:color="auto" w:sz="4" w:space="0"/>
              <w:left w:val="single" w:color="auto" w:sz="4" w:space="0"/>
              <w:bottom w:val="single" w:color="auto" w:sz="4" w:space="0"/>
              <w:right w:val="single" w:color="auto" w:sz="4" w:space="0"/>
            </w:tcBorders>
            <w:noWrap w:val="0"/>
            <w:vAlign w:val="center"/>
          </w:tcPr>
          <w:p w14:paraId="1F52CF3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Cs/>
                <w:color w:val="auto"/>
                <w:kern w:val="2"/>
                <w:sz w:val="24"/>
                <w:szCs w:val="24"/>
                <w:highlight w:val="none"/>
                <w:vertAlign w:val="baseline"/>
                <w:lang w:val="en-US" w:eastAsia="zh-CN" w:bidi="ar-SA"/>
              </w:rPr>
            </w:pPr>
          </w:p>
        </w:tc>
      </w:tr>
    </w:tbl>
    <w:p w14:paraId="16ECFFE5">
      <w:pPr>
        <w:keepNext w:val="0"/>
        <w:keepLines w:val="0"/>
        <w:pageBreakBefore w:val="0"/>
        <w:widowControl w:val="0"/>
        <w:kinsoku/>
        <w:wordWrap/>
        <w:overflowPunct/>
        <w:topLinePunct w:val="0"/>
        <w:autoSpaceDE w:val="0"/>
        <w:autoSpaceDN w:val="0"/>
        <w:bidi w:val="0"/>
        <w:adjustRightInd w:val="0"/>
        <w:snapToGrid w:val="0"/>
        <w:spacing w:before="25" w:after="25" w:line="360" w:lineRule="exact"/>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注：</w:t>
      </w:r>
      <w:r>
        <w:rPr>
          <w:rFonts w:hint="eastAsia" w:ascii="宋体" w:hAnsi="宋体" w:cs="宋体"/>
          <w:b/>
          <w:bCs/>
          <w:color w:val="auto"/>
          <w:spacing w:val="2"/>
          <w:sz w:val="24"/>
          <w:szCs w:val="24"/>
          <w:highlight w:val="none"/>
          <w:u w:val="none"/>
          <w:lang w:val="en-US" w:eastAsia="zh-CN"/>
        </w:rPr>
        <w:t xml:space="preserve"> </w:t>
      </w:r>
      <w:r>
        <w:rPr>
          <w:rFonts w:hint="eastAsia" w:ascii="宋体" w:hAnsi="宋体" w:eastAsia="宋体" w:cs="宋体"/>
          <w:b/>
          <w:bCs/>
          <w:color w:val="auto"/>
          <w:spacing w:val="2"/>
          <w:sz w:val="24"/>
          <w:szCs w:val="24"/>
          <w:highlight w:val="none"/>
          <w:u w:val="none"/>
          <w:lang w:val="en-US" w:eastAsia="zh-CN"/>
        </w:rPr>
        <w:t>如果不提供分项报价将视为没有实质性响应招标文件。</w:t>
      </w:r>
    </w:p>
    <w:p w14:paraId="13EBC5CF">
      <w:pPr>
        <w:keepNext w:val="0"/>
        <w:keepLines w:val="0"/>
        <w:pageBreakBefore w:val="0"/>
        <w:widowControl w:val="0"/>
        <w:kinsoku/>
        <w:wordWrap/>
        <w:overflowPunct/>
        <w:topLinePunct w:val="0"/>
        <w:autoSpaceDE w:val="0"/>
        <w:autoSpaceDN w:val="0"/>
        <w:bidi w:val="0"/>
        <w:adjustRightInd w:val="0"/>
        <w:snapToGrid w:val="0"/>
        <w:spacing w:before="10" w:line="360" w:lineRule="auto"/>
        <w:textAlignment w:val="auto"/>
        <w:rPr>
          <w:color w:val="auto"/>
          <w:sz w:val="24"/>
          <w:highlight w:val="none"/>
        </w:rPr>
      </w:pPr>
      <w:r>
        <w:rPr>
          <w:rFonts w:hint="eastAsia" w:ascii="宋体" w:hAnsi="宋体" w:cs="宋体"/>
          <w:b/>
          <w:bCs/>
          <w:color w:val="auto"/>
          <w:spacing w:val="2"/>
          <w:sz w:val="24"/>
          <w:szCs w:val="24"/>
          <w:highlight w:val="none"/>
          <w:u w:val="none"/>
          <w:lang w:val="en-US" w:eastAsia="zh-CN"/>
        </w:rPr>
        <w:t xml:space="preserve"> </w:t>
      </w:r>
    </w:p>
    <w:p w14:paraId="66D5D60F">
      <w:pPr>
        <w:keepNext w:val="0"/>
        <w:keepLines w:val="0"/>
        <w:pageBreakBefore w:val="0"/>
        <w:widowControl w:val="0"/>
        <w:kinsoku/>
        <w:wordWrap/>
        <w:overflowPunct/>
        <w:topLinePunct w:val="0"/>
        <w:autoSpaceDE w:val="0"/>
        <w:autoSpaceDN w:val="0"/>
        <w:bidi w:val="0"/>
        <w:adjustRightInd w:val="0"/>
        <w:snapToGrid w:val="0"/>
        <w:spacing w:before="10" w:line="360" w:lineRule="auto"/>
        <w:textAlignment w:val="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B61BB0B">
      <w:pPr>
        <w:autoSpaceDE w:val="0"/>
        <w:autoSpaceDN w:val="0"/>
        <w:adjustRightInd w:val="0"/>
        <w:snapToGrid w:val="0"/>
        <w:spacing w:before="25" w:after="25" w:line="360" w:lineRule="auto"/>
        <w:rPr>
          <w:color w:val="auto"/>
          <w:sz w:val="24"/>
          <w:szCs w:val="20"/>
          <w:highlight w:val="none"/>
        </w:rPr>
      </w:pPr>
      <w:r>
        <w:rPr>
          <w:color w:val="auto"/>
          <w:sz w:val="24"/>
          <w:szCs w:val="20"/>
          <w:highlight w:val="none"/>
        </w:rPr>
        <w:t xml:space="preserve">日期：_____年______月______日   </w:t>
      </w:r>
      <w:r>
        <w:rPr>
          <w:color w:val="auto"/>
          <w:sz w:val="24"/>
          <w:szCs w:val="20"/>
          <w:highlight w:val="none"/>
        </w:rPr>
        <w:br w:type="page"/>
      </w:r>
      <w:r>
        <w:rPr>
          <w:rFonts w:hint="eastAsia"/>
          <w:color w:val="auto"/>
          <w:sz w:val="24"/>
          <w:szCs w:val="20"/>
          <w:highlight w:val="none"/>
          <w:lang w:val="en-US" w:eastAsia="zh-CN"/>
        </w:rPr>
        <w:t>6</w:t>
      </w:r>
      <w:r>
        <w:rPr>
          <w:color w:val="auto"/>
          <w:sz w:val="24"/>
          <w:szCs w:val="20"/>
          <w:highlight w:val="none"/>
        </w:rPr>
        <w:t xml:space="preserve">  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C5ACC18">
      <w:pPr>
        <w:tabs>
          <w:tab w:val="left" w:pos="5580"/>
        </w:tabs>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rPr>
        <w:t>8</w:t>
      </w:r>
      <w:r>
        <w:rPr>
          <w:color w:val="auto"/>
          <w:sz w:val="24"/>
          <w:szCs w:val="20"/>
          <w:highlight w:val="none"/>
        </w:rPr>
        <w:t xml:space="preserve">  中小企业声明函</w:t>
      </w:r>
    </w:p>
    <w:p w14:paraId="0D58754F">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5BDD1733">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如是属于本项目所属行业的中型、小型、微型企业的情形的，可提供《中小企业声明函》格式文件;投标人如是属于本项目所属行业的残疾人福利性单位、监狱企业的情形的，可提供《残疾人福利性单位声明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未提供的将不享受有关政策，</w:t>
      </w:r>
    </w:p>
    <w:p w14:paraId="69C6C3A9">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2)《中小企业声明函》由参加政府采购活动的投标人出具。</w:t>
      </w:r>
    </w:p>
    <w:p w14:paraId="371F83B0">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3）中小企业认定标准以《关于印发中小企业划型标准规定的通知》（工信部联企业〔2011〕300号）文件规定为准。</w:t>
      </w:r>
    </w:p>
    <w:p w14:paraId="6EF6D020">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p>
    <w:p w14:paraId="17BE31D6">
      <w:pPr>
        <w:adjustRightInd w:val="0"/>
        <w:spacing w:line="570" w:lineRule="exact"/>
        <w:ind w:firstLine="361" w:firstLineChars="1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）小微企业未提供声明函的，价格分评审将不予价格扣除。</w:t>
      </w:r>
    </w:p>
    <w:p w14:paraId="2547753F">
      <w:pPr>
        <w:tabs>
          <w:tab w:val="left" w:pos="5580"/>
        </w:tabs>
        <w:spacing w:line="360" w:lineRule="auto"/>
        <w:rPr>
          <w:rFonts w:hint="eastAsia"/>
          <w:color w:val="auto"/>
          <w:sz w:val="24"/>
          <w:highlight w:val="none"/>
        </w:rPr>
      </w:pPr>
    </w:p>
    <w:p w14:paraId="629317CC">
      <w:pPr>
        <w:widowControl/>
        <w:jc w:val="left"/>
        <w:rPr>
          <w:b/>
          <w:bCs/>
          <w:color w:val="auto"/>
          <w:sz w:val="24"/>
          <w:highlight w:val="none"/>
        </w:rPr>
      </w:pPr>
      <w:r>
        <w:rPr>
          <w:color w:val="auto"/>
          <w:sz w:val="24"/>
          <w:szCs w:val="20"/>
          <w:highlight w:val="none"/>
        </w:rPr>
        <w:br w:type="page"/>
      </w:r>
    </w:p>
    <w:p w14:paraId="054F64BE">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E3A1FC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2FB8688F">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69BF59E3">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11AEEE2">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ED8190D">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0757ABC9">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17A2936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3BAC48D7">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16C57284">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8EF53D8">
      <w:pPr>
        <w:adjustRightInd w:val="0"/>
        <w:snapToGrid w:val="0"/>
        <w:spacing w:line="570" w:lineRule="exact"/>
        <w:rPr>
          <w:rFonts w:hint="eastAsia" w:ascii="宋体" w:hAnsi="宋体" w:eastAsia="宋体" w:cs="宋体"/>
          <w:color w:val="auto"/>
          <w:sz w:val="24"/>
          <w:szCs w:val="24"/>
          <w:highlight w:val="none"/>
        </w:rPr>
      </w:pPr>
    </w:p>
    <w:p w14:paraId="6554BB23">
      <w:pPr>
        <w:adjustRightInd w:val="0"/>
        <w:snapToGrid w:val="0"/>
        <w:spacing w:line="570" w:lineRule="exact"/>
        <w:rPr>
          <w:rFonts w:hint="eastAsia" w:ascii="宋体" w:hAnsi="宋体" w:eastAsia="宋体" w:cs="宋体"/>
          <w:b/>
          <w:color w:val="auto"/>
          <w:sz w:val="24"/>
          <w:szCs w:val="24"/>
          <w:highlight w:val="none"/>
        </w:rPr>
      </w:pPr>
    </w:p>
    <w:p w14:paraId="253E56B6">
      <w:pPr>
        <w:adjustRightInd w:val="0"/>
        <w:snapToGrid w:val="0"/>
        <w:spacing w:line="570" w:lineRule="exact"/>
        <w:rPr>
          <w:rFonts w:hint="eastAsia" w:ascii="宋体" w:hAnsi="宋体" w:eastAsia="宋体" w:cs="宋体"/>
          <w:color w:val="auto"/>
          <w:sz w:val="24"/>
          <w:szCs w:val="24"/>
          <w:highlight w:val="none"/>
        </w:rPr>
      </w:pPr>
    </w:p>
    <w:p w14:paraId="7174C934">
      <w:pPr>
        <w:adjustRightInd w:val="0"/>
        <w:snapToGrid w:val="0"/>
        <w:spacing w:line="570" w:lineRule="exact"/>
        <w:rPr>
          <w:rFonts w:hint="eastAsia" w:ascii="宋体" w:hAnsi="宋体" w:eastAsia="宋体" w:cs="宋体"/>
          <w:color w:val="auto"/>
          <w:sz w:val="24"/>
          <w:szCs w:val="24"/>
          <w:highlight w:val="none"/>
        </w:rPr>
      </w:pPr>
    </w:p>
    <w:p w14:paraId="2227E0C7">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195E131D">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68AD175E">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431396F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w:t>
      </w:r>
      <w:r>
        <w:rPr>
          <w:rFonts w:hint="eastAsia" w:ascii="宋体" w:hAnsi="宋体" w:cs="宋体"/>
          <w:color w:val="auto"/>
          <w:sz w:val="24"/>
          <w:szCs w:val="24"/>
          <w:highlight w:val="none"/>
          <w:lang w:eastAsia="zh-CN"/>
        </w:rPr>
        <w:t>常州市中医医院医疗废物收集处置服务项目</w:t>
      </w:r>
      <w:r>
        <w:rPr>
          <w:rFonts w:hint="eastAsia" w:ascii="宋体" w:hAnsi="宋体" w:eastAsia="宋体" w:cs="宋体"/>
          <w:color w:val="auto"/>
          <w:sz w:val="24"/>
          <w:szCs w:val="24"/>
          <w:highlight w:val="none"/>
        </w:rPr>
        <w:t>。</w:t>
      </w:r>
    </w:p>
    <w:p w14:paraId="36257FC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62D1CEBC">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1167148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其他未列明行业。</w:t>
      </w:r>
    </w:p>
    <w:p w14:paraId="7198E48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3FA405D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46C2BCD0">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5BF0EE0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CA电子公章。</w:t>
      </w:r>
    </w:p>
    <w:p w14:paraId="6B2EC04C">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631529F6">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1B315D95">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7C1BDDFB">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057BFB95">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39A7CB4F">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5769F2CF">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14F53B8">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1216441">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2A2C4F88">
      <w:pPr>
        <w:spacing w:line="360" w:lineRule="auto"/>
        <w:outlineLvl w:val="2"/>
        <w:rPr>
          <w:color w:val="auto"/>
          <w:sz w:val="24"/>
          <w:szCs w:val="20"/>
          <w:highlight w:val="none"/>
        </w:rPr>
      </w:pPr>
      <w:r>
        <w:rPr>
          <w:color w:val="auto"/>
          <w:sz w:val="24"/>
          <w:szCs w:val="20"/>
          <w:highlight w:val="none"/>
        </w:rPr>
        <w:br w:type="page"/>
      </w:r>
    </w:p>
    <w:p w14:paraId="7A639AEA">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C82BF8">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5C7190B2">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421010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4A49FFCF">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5BFECF90">
      <w:pPr>
        <w:spacing w:line="588" w:lineRule="exact"/>
        <w:ind w:firstLine="504" w:firstLineChars="200"/>
        <w:rPr>
          <w:color w:val="auto"/>
          <w:spacing w:val="6"/>
          <w:sz w:val="24"/>
          <w:highlight w:val="none"/>
        </w:rPr>
      </w:pPr>
    </w:p>
    <w:p w14:paraId="76B4F924">
      <w:pPr>
        <w:spacing w:line="588" w:lineRule="exact"/>
        <w:ind w:firstLine="504" w:firstLineChars="200"/>
        <w:rPr>
          <w:color w:val="auto"/>
          <w:spacing w:val="6"/>
          <w:sz w:val="24"/>
          <w:highlight w:val="none"/>
        </w:rPr>
      </w:pPr>
    </w:p>
    <w:p w14:paraId="44916930">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686A1192">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738220B1">
      <w:pPr>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br w:type="page"/>
      </w:r>
    </w:p>
    <w:p w14:paraId="597068AB">
      <w:pPr>
        <w:spacing w:line="588" w:lineRule="exact"/>
        <w:ind w:firstLine="480" w:firstLineChars="200"/>
        <w:rPr>
          <w:color w:val="auto"/>
          <w:sz w:val="24"/>
          <w:szCs w:val="20"/>
          <w:highlight w:val="none"/>
        </w:rPr>
      </w:pPr>
      <w:r>
        <w:rPr>
          <w:rFonts w:hint="eastAsia"/>
          <w:color w:val="auto"/>
          <w:sz w:val="24"/>
          <w:szCs w:val="20"/>
          <w:highlight w:val="none"/>
          <w:lang w:val="en-US" w:eastAsia="zh-CN"/>
        </w:rPr>
        <w:t>9</w:t>
      </w:r>
      <w:r>
        <w:rPr>
          <w:color w:val="auto"/>
          <w:sz w:val="24"/>
          <w:szCs w:val="20"/>
          <w:highlight w:val="none"/>
        </w:rPr>
        <w:t xml:space="preserve">  </w:t>
      </w:r>
      <w:r>
        <w:rPr>
          <w:rFonts w:hint="eastAsia"/>
          <w:color w:val="auto"/>
          <w:sz w:val="24"/>
          <w:szCs w:val="20"/>
          <w:highlight w:val="none"/>
        </w:rPr>
        <w:t>项目实施方案等，包括但不限于如下主题：</w:t>
      </w:r>
    </w:p>
    <w:p w14:paraId="6D35EB07">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）整体实施方案；</w:t>
      </w:r>
    </w:p>
    <w:p w14:paraId="6D331E66">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）全流程质量管理方案；</w:t>
      </w:r>
    </w:p>
    <w:p w14:paraId="7413DD27">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）安全监测方案；</w:t>
      </w:r>
    </w:p>
    <w:p w14:paraId="07DBCD43">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）突发情况应急处置预案；</w:t>
      </w:r>
    </w:p>
    <w:p w14:paraId="625BC2C4">
      <w:pPr>
        <w:snapToGrid w:val="0"/>
        <w:spacing w:line="560" w:lineRule="exact"/>
        <w:ind w:firstLine="480" w:firstLineChars="200"/>
        <w:outlineLvl w:val="9"/>
        <w:rPr>
          <w:rFonts w:hint="eastAsia" w:eastAsia="宋体"/>
          <w:color w:val="auto"/>
          <w:sz w:val="24"/>
          <w:szCs w:val="20"/>
          <w:highlight w:val="none"/>
          <w:lang w:val="en-US" w:eastAsia="zh-CN"/>
        </w:rPr>
        <w:sectPr>
          <w:headerReference r:id="rId22" w:type="first"/>
          <w:footerReference r:id="rId24" w:type="first"/>
          <w:headerReference r:id="rId21" w:type="even"/>
          <w:footerReference r:id="rId23"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）服务承诺</w:t>
      </w:r>
      <w:r>
        <w:rPr>
          <w:rFonts w:hint="eastAsia"/>
          <w:color w:val="auto"/>
          <w:sz w:val="24"/>
          <w:szCs w:val="20"/>
          <w:highlight w:val="none"/>
          <w:lang w:val="en-US" w:eastAsia="zh-CN"/>
        </w:rPr>
        <w:t>。</w:t>
      </w:r>
    </w:p>
    <w:p w14:paraId="4E892211">
      <w:pPr>
        <w:rPr>
          <w:color w:val="auto"/>
          <w:sz w:val="24"/>
          <w:szCs w:val="20"/>
          <w:highlight w:val="none"/>
        </w:rPr>
      </w:pPr>
      <w:r>
        <w:rPr>
          <w:rFonts w:hint="eastAsia"/>
          <w:color w:val="auto"/>
          <w:sz w:val="24"/>
          <w:szCs w:val="20"/>
          <w:highlight w:val="none"/>
          <w:lang w:val="en-US" w:eastAsia="zh-CN"/>
        </w:rPr>
        <w:t>10</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8" w:name="_Toc288738397"/>
      <w:bookmarkStart w:id="909" w:name="_Toc288738839"/>
      <w:r>
        <w:rPr>
          <w:rFonts w:hint="eastAsia"/>
          <w:color w:val="auto"/>
          <w:sz w:val="24"/>
          <w:szCs w:val="20"/>
          <w:highlight w:val="none"/>
          <w:lang w:val="en-US" w:eastAsia="zh-CN"/>
        </w:rPr>
        <w:t>11</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8"/>
      <w:bookmarkEnd w:id="909"/>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12</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1E96D360">
      <w:pPr>
        <w:widowControl/>
        <w:jc w:val="left"/>
        <w:rPr>
          <w:b/>
          <w:color w:val="auto"/>
          <w:sz w:val="36"/>
          <w:szCs w:val="36"/>
          <w:highlight w:val="none"/>
        </w:rPr>
      </w:pPr>
    </w:p>
    <w:bookmarkEnd w:id="910"/>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等线 Light">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6CA6">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218A1282">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BDF09">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E91EC">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3E91EC">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1F7D8B28">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08584F23">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BC9C047">
    <w:pPr>
      <w:pStyle w:val="29"/>
      <w:ind w:right="360"/>
    </w:pPr>
  </w:p>
  <w:p w14:paraId="5E817E1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FC425C5">
    <w:pPr>
      <w:pStyle w:val="29"/>
      <w:ind w:right="360"/>
    </w:pPr>
  </w:p>
  <w:p w14:paraId="48C23BC7"/>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color w:val="auto"/>
        <w:lang w:eastAsia="zh-CN"/>
      </w:rPr>
      <w:t>常州市中医医院医疗废物收集处置服务项目</w:t>
    </w:r>
    <w:r>
      <w:rPr>
        <w:rFonts w:hint="eastAsia"/>
        <w:color w:val="auto"/>
      </w:rPr>
      <w:t>公开招</w:t>
    </w:r>
    <w:r>
      <w:rPr>
        <w:rFonts w:hint="eastAsia"/>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pPr>
    <w:r>
      <w:rPr>
        <w:rFonts w:hint="eastAsia"/>
        <w:color w:val="auto"/>
        <w:lang w:eastAsia="zh-CN"/>
      </w:rPr>
      <w:t>常州市中医医院医疗废物收集处置服务项目</w:t>
    </w:r>
    <w:r>
      <w:rPr>
        <w:rFonts w:hint="eastAsia"/>
        <w:color w:val="auto"/>
      </w:rPr>
      <w:t>公</w:t>
    </w:r>
    <w:r>
      <w:rPr>
        <w:rFonts w:hint="eastAsia"/>
      </w:rPr>
      <w:t>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color w:val="auto"/>
        <w:lang w:eastAsia="zh-CN"/>
      </w:rPr>
      <w:t>常州市中医医院医疗废物收集处置服务项目</w:t>
    </w:r>
    <w:r>
      <w:rPr>
        <w:rFonts w:hint="eastAsia"/>
        <w:color w:val="auto"/>
      </w:rPr>
      <w:t>公开招</w:t>
    </w:r>
    <w:r>
      <w:rPr>
        <w:rFonts w:hint="eastAsia"/>
      </w:rPr>
      <w:t>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color w:val="auto"/>
        <w:lang w:eastAsia="zh-CN"/>
      </w:rPr>
      <w:t>常州市中医医院医疗废物收集处置服务项目</w:t>
    </w:r>
    <w:r>
      <w:rPr>
        <w:rFonts w:hint="eastAsia"/>
        <w:color w:val="auto"/>
      </w:rPr>
      <w:t>公</w:t>
    </w:r>
    <w:r>
      <w:rPr>
        <w:rFonts w:hint="eastAsia"/>
      </w:rPr>
      <w:t>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4E08">
    <w:pPr>
      <w:pStyle w:val="31"/>
      <w:jc w:val="right"/>
      <w:rPr>
        <w:color w:val="auto"/>
      </w:rPr>
    </w:pPr>
    <w:r>
      <w:rPr>
        <w:rFonts w:hint="eastAsia"/>
        <w:color w:val="auto"/>
        <w:lang w:eastAsia="zh-CN"/>
      </w:rPr>
      <w:t>常州市中医医院医疗废物收集处置服务项目</w:t>
    </w:r>
    <w:r>
      <w:rPr>
        <w:rFonts w:hint="eastAsia"/>
        <w:color w:val="auto"/>
      </w:rPr>
      <w:t>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EDE7E">
    <w:pPr>
      <w:pStyle w:val="31"/>
      <w:jc w:val="right"/>
    </w:pPr>
    <w:r>
      <w:rPr>
        <w:rFonts w:hint="eastAsia"/>
        <w:color w:val="auto"/>
        <w:lang w:eastAsia="zh-CN"/>
      </w:rPr>
      <w:t>常州市中医医院医疗废物收集处置服务项目</w:t>
    </w:r>
    <w:r>
      <w:rPr>
        <w:rFonts w:hint="eastAsia"/>
        <w:color w:val="auto"/>
      </w:rPr>
      <w:t>公开招标</w:t>
    </w:r>
    <w:r>
      <w:rPr>
        <w:rFonts w:hint="eastAsia"/>
      </w:rPr>
      <w:t>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jc w:val="right"/>
    </w:pPr>
    <w:r>
      <w:rPr>
        <w:rFonts w:hint="eastAsia"/>
        <w:color w:val="auto"/>
        <w:lang w:eastAsia="zh-CN"/>
      </w:rPr>
      <w:t>常州市中医医院医疗废物收集处置服务项目</w:t>
    </w:r>
    <w:r>
      <w:rPr>
        <w:rFonts w:hint="eastAsia"/>
        <w:color w:val="auto"/>
      </w:rPr>
      <w:t>公开招标</w:t>
    </w:r>
    <w:r>
      <w:rPr>
        <w:rFonts w:hint="eastAsia"/>
      </w:rPr>
      <w:t>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20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7"/>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6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8B0"/>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626374"/>
    <w:rsid w:val="01906633"/>
    <w:rsid w:val="01BE7F1C"/>
    <w:rsid w:val="01C81F50"/>
    <w:rsid w:val="01F01BD2"/>
    <w:rsid w:val="02761617"/>
    <w:rsid w:val="027C457E"/>
    <w:rsid w:val="028077D7"/>
    <w:rsid w:val="02D628BA"/>
    <w:rsid w:val="03123F9D"/>
    <w:rsid w:val="033A0998"/>
    <w:rsid w:val="03594149"/>
    <w:rsid w:val="03741BF7"/>
    <w:rsid w:val="037C2718"/>
    <w:rsid w:val="042C2BE0"/>
    <w:rsid w:val="043909FE"/>
    <w:rsid w:val="044F484E"/>
    <w:rsid w:val="046B4414"/>
    <w:rsid w:val="046F5C3F"/>
    <w:rsid w:val="047F2D99"/>
    <w:rsid w:val="048F1A9B"/>
    <w:rsid w:val="049F168E"/>
    <w:rsid w:val="04F80D9E"/>
    <w:rsid w:val="05421EFD"/>
    <w:rsid w:val="054757C2"/>
    <w:rsid w:val="056D3D17"/>
    <w:rsid w:val="05C574CF"/>
    <w:rsid w:val="05CA69C2"/>
    <w:rsid w:val="05D435B9"/>
    <w:rsid w:val="065D285A"/>
    <w:rsid w:val="067B7666"/>
    <w:rsid w:val="07004D9A"/>
    <w:rsid w:val="07053AED"/>
    <w:rsid w:val="07251BF4"/>
    <w:rsid w:val="072A06D6"/>
    <w:rsid w:val="07375B39"/>
    <w:rsid w:val="07486125"/>
    <w:rsid w:val="0790350F"/>
    <w:rsid w:val="07917AF4"/>
    <w:rsid w:val="07AD2313"/>
    <w:rsid w:val="07C17B6D"/>
    <w:rsid w:val="08044557"/>
    <w:rsid w:val="080D6DA9"/>
    <w:rsid w:val="08146F71"/>
    <w:rsid w:val="084542FA"/>
    <w:rsid w:val="08614263"/>
    <w:rsid w:val="089C3F7F"/>
    <w:rsid w:val="08E92ED7"/>
    <w:rsid w:val="091E1A28"/>
    <w:rsid w:val="093C3886"/>
    <w:rsid w:val="093F332C"/>
    <w:rsid w:val="09912903"/>
    <w:rsid w:val="09C555AA"/>
    <w:rsid w:val="0A0A31C0"/>
    <w:rsid w:val="0A0D3022"/>
    <w:rsid w:val="0A2F1DB7"/>
    <w:rsid w:val="0A603399"/>
    <w:rsid w:val="0A782765"/>
    <w:rsid w:val="0A8E3FFB"/>
    <w:rsid w:val="0A9521E2"/>
    <w:rsid w:val="0AC27289"/>
    <w:rsid w:val="0AFF1189"/>
    <w:rsid w:val="0B302536"/>
    <w:rsid w:val="0B571845"/>
    <w:rsid w:val="0B660C1A"/>
    <w:rsid w:val="0BB407B3"/>
    <w:rsid w:val="0BB84D66"/>
    <w:rsid w:val="0BE72312"/>
    <w:rsid w:val="0C1459AC"/>
    <w:rsid w:val="0C5F24C0"/>
    <w:rsid w:val="0C804CC6"/>
    <w:rsid w:val="0CB03D2F"/>
    <w:rsid w:val="0CC90B9E"/>
    <w:rsid w:val="0CCB058F"/>
    <w:rsid w:val="0D2D431B"/>
    <w:rsid w:val="0D597A12"/>
    <w:rsid w:val="0D5E3DDF"/>
    <w:rsid w:val="0D7F0920"/>
    <w:rsid w:val="0D9C0677"/>
    <w:rsid w:val="0DAD00CC"/>
    <w:rsid w:val="0DBB35B4"/>
    <w:rsid w:val="0DD759F4"/>
    <w:rsid w:val="0DFC2E62"/>
    <w:rsid w:val="0E05748E"/>
    <w:rsid w:val="0E540297"/>
    <w:rsid w:val="0E8B5269"/>
    <w:rsid w:val="0E9E53ED"/>
    <w:rsid w:val="0ED1350D"/>
    <w:rsid w:val="0F292A9D"/>
    <w:rsid w:val="0F3708F0"/>
    <w:rsid w:val="0F380715"/>
    <w:rsid w:val="0F3B1B8F"/>
    <w:rsid w:val="0FA77AC3"/>
    <w:rsid w:val="0FAC4FDD"/>
    <w:rsid w:val="0FE85F90"/>
    <w:rsid w:val="1013670F"/>
    <w:rsid w:val="104D6442"/>
    <w:rsid w:val="106E2498"/>
    <w:rsid w:val="108A0980"/>
    <w:rsid w:val="108E4DB8"/>
    <w:rsid w:val="10A30EFB"/>
    <w:rsid w:val="11276C93"/>
    <w:rsid w:val="11301BE1"/>
    <w:rsid w:val="1138046C"/>
    <w:rsid w:val="113879FA"/>
    <w:rsid w:val="1172177E"/>
    <w:rsid w:val="117C423F"/>
    <w:rsid w:val="11966C2F"/>
    <w:rsid w:val="11D87F8D"/>
    <w:rsid w:val="122600A1"/>
    <w:rsid w:val="12445622"/>
    <w:rsid w:val="124B6EFE"/>
    <w:rsid w:val="124D097B"/>
    <w:rsid w:val="128D0E5D"/>
    <w:rsid w:val="129D179C"/>
    <w:rsid w:val="12B17AB7"/>
    <w:rsid w:val="12C908D6"/>
    <w:rsid w:val="12D439DD"/>
    <w:rsid w:val="13203999"/>
    <w:rsid w:val="13372CCF"/>
    <w:rsid w:val="134000FB"/>
    <w:rsid w:val="1364392F"/>
    <w:rsid w:val="13732A87"/>
    <w:rsid w:val="137632D9"/>
    <w:rsid w:val="13AE6810"/>
    <w:rsid w:val="142404FF"/>
    <w:rsid w:val="144A1C6D"/>
    <w:rsid w:val="145D23C6"/>
    <w:rsid w:val="14B3361B"/>
    <w:rsid w:val="14BC7273"/>
    <w:rsid w:val="14ED3D4F"/>
    <w:rsid w:val="15270F29"/>
    <w:rsid w:val="152A0AFF"/>
    <w:rsid w:val="15323E58"/>
    <w:rsid w:val="15387F8D"/>
    <w:rsid w:val="153E24C4"/>
    <w:rsid w:val="154F5FD6"/>
    <w:rsid w:val="15985D92"/>
    <w:rsid w:val="15A64936"/>
    <w:rsid w:val="15AE34DE"/>
    <w:rsid w:val="15AE376F"/>
    <w:rsid w:val="15B504E1"/>
    <w:rsid w:val="15F5110D"/>
    <w:rsid w:val="16285FB7"/>
    <w:rsid w:val="163908DF"/>
    <w:rsid w:val="163D11BB"/>
    <w:rsid w:val="16442095"/>
    <w:rsid w:val="165810F8"/>
    <w:rsid w:val="165E3157"/>
    <w:rsid w:val="16612C47"/>
    <w:rsid w:val="1662079C"/>
    <w:rsid w:val="167E23F1"/>
    <w:rsid w:val="16BB7EF6"/>
    <w:rsid w:val="17464EDF"/>
    <w:rsid w:val="174C429D"/>
    <w:rsid w:val="1756574D"/>
    <w:rsid w:val="175A7EC9"/>
    <w:rsid w:val="17711974"/>
    <w:rsid w:val="177E15D6"/>
    <w:rsid w:val="17AB1930"/>
    <w:rsid w:val="17BD7ACD"/>
    <w:rsid w:val="17CC2342"/>
    <w:rsid w:val="17F93E0B"/>
    <w:rsid w:val="1866030F"/>
    <w:rsid w:val="188D727F"/>
    <w:rsid w:val="18976BAC"/>
    <w:rsid w:val="189A635D"/>
    <w:rsid w:val="18BC0D66"/>
    <w:rsid w:val="18DB006D"/>
    <w:rsid w:val="18E91847"/>
    <w:rsid w:val="18F90F15"/>
    <w:rsid w:val="18FE29CF"/>
    <w:rsid w:val="191F6F2E"/>
    <w:rsid w:val="195E521C"/>
    <w:rsid w:val="197669C8"/>
    <w:rsid w:val="19965929"/>
    <w:rsid w:val="19C9609B"/>
    <w:rsid w:val="1A053A20"/>
    <w:rsid w:val="1A235A37"/>
    <w:rsid w:val="1A693E78"/>
    <w:rsid w:val="1A9E670A"/>
    <w:rsid w:val="1ABB2ACE"/>
    <w:rsid w:val="1B1F6C2C"/>
    <w:rsid w:val="1B3A2DE8"/>
    <w:rsid w:val="1B670A02"/>
    <w:rsid w:val="1BD566F5"/>
    <w:rsid w:val="1BE0533B"/>
    <w:rsid w:val="1BF82EEE"/>
    <w:rsid w:val="1C02080D"/>
    <w:rsid w:val="1C220782"/>
    <w:rsid w:val="1C3404B6"/>
    <w:rsid w:val="1C455CA5"/>
    <w:rsid w:val="1C4F731E"/>
    <w:rsid w:val="1C8D6AE1"/>
    <w:rsid w:val="1C9D42AD"/>
    <w:rsid w:val="1CB84DBF"/>
    <w:rsid w:val="1CBD6E94"/>
    <w:rsid w:val="1CBE61EC"/>
    <w:rsid w:val="1CCE79E9"/>
    <w:rsid w:val="1D1E0C5E"/>
    <w:rsid w:val="1D214EDE"/>
    <w:rsid w:val="1D2C69D2"/>
    <w:rsid w:val="1D5F1562"/>
    <w:rsid w:val="1D68754A"/>
    <w:rsid w:val="1D6D2C92"/>
    <w:rsid w:val="1E0D2A91"/>
    <w:rsid w:val="1E1E022A"/>
    <w:rsid w:val="1E32090B"/>
    <w:rsid w:val="1E546F73"/>
    <w:rsid w:val="1EAA5345"/>
    <w:rsid w:val="1EB81AFB"/>
    <w:rsid w:val="1ED41ADC"/>
    <w:rsid w:val="1EDE2CAF"/>
    <w:rsid w:val="1F0D582F"/>
    <w:rsid w:val="1F36498C"/>
    <w:rsid w:val="1F466F95"/>
    <w:rsid w:val="1F5C4F99"/>
    <w:rsid w:val="1F5F2643"/>
    <w:rsid w:val="1FBE5319"/>
    <w:rsid w:val="1FC11D29"/>
    <w:rsid w:val="1FCA128A"/>
    <w:rsid w:val="1FDC6A71"/>
    <w:rsid w:val="1FED0195"/>
    <w:rsid w:val="200A700D"/>
    <w:rsid w:val="200C041C"/>
    <w:rsid w:val="20195183"/>
    <w:rsid w:val="20805C01"/>
    <w:rsid w:val="20DB0B4D"/>
    <w:rsid w:val="20FF6149"/>
    <w:rsid w:val="2121150A"/>
    <w:rsid w:val="2132348A"/>
    <w:rsid w:val="214E3823"/>
    <w:rsid w:val="218B501C"/>
    <w:rsid w:val="21D75FA1"/>
    <w:rsid w:val="21EE6986"/>
    <w:rsid w:val="21FB262E"/>
    <w:rsid w:val="22010E3A"/>
    <w:rsid w:val="22031056"/>
    <w:rsid w:val="2239193A"/>
    <w:rsid w:val="223C6316"/>
    <w:rsid w:val="22506DDC"/>
    <w:rsid w:val="22515191"/>
    <w:rsid w:val="226A06FE"/>
    <w:rsid w:val="227040E3"/>
    <w:rsid w:val="229212D1"/>
    <w:rsid w:val="2298179E"/>
    <w:rsid w:val="22CF641B"/>
    <w:rsid w:val="231D1CA3"/>
    <w:rsid w:val="23206314"/>
    <w:rsid w:val="23206C6F"/>
    <w:rsid w:val="23294F84"/>
    <w:rsid w:val="233D2346"/>
    <w:rsid w:val="234636C5"/>
    <w:rsid w:val="235B437F"/>
    <w:rsid w:val="23803162"/>
    <w:rsid w:val="238E0C0F"/>
    <w:rsid w:val="23960D09"/>
    <w:rsid w:val="239E00B4"/>
    <w:rsid w:val="23D14071"/>
    <w:rsid w:val="23EF1D66"/>
    <w:rsid w:val="240A715C"/>
    <w:rsid w:val="240B5D75"/>
    <w:rsid w:val="242B34A5"/>
    <w:rsid w:val="24D207BC"/>
    <w:rsid w:val="24E0203E"/>
    <w:rsid w:val="251E74A4"/>
    <w:rsid w:val="252D51EA"/>
    <w:rsid w:val="25965D3D"/>
    <w:rsid w:val="25A16BBC"/>
    <w:rsid w:val="25D50209"/>
    <w:rsid w:val="25F413E1"/>
    <w:rsid w:val="25FA1A68"/>
    <w:rsid w:val="261002A1"/>
    <w:rsid w:val="26242111"/>
    <w:rsid w:val="26335498"/>
    <w:rsid w:val="26734128"/>
    <w:rsid w:val="2691688E"/>
    <w:rsid w:val="26BE7FBB"/>
    <w:rsid w:val="26C34DCC"/>
    <w:rsid w:val="26D74FA2"/>
    <w:rsid w:val="26FE003E"/>
    <w:rsid w:val="2700039E"/>
    <w:rsid w:val="27083FF7"/>
    <w:rsid w:val="27210CD8"/>
    <w:rsid w:val="273B6B9C"/>
    <w:rsid w:val="27427F2B"/>
    <w:rsid w:val="2760322B"/>
    <w:rsid w:val="27843CE5"/>
    <w:rsid w:val="280254F9"/>
    <w:rsid w:val="28520641"/>
    <w:rsid w:val="28591B44"/>
    <w:rsid w:val="28861BF2"/>
    <w:rsid w:val="289035E9"/>
    <w:rsid w:val="28BF4863"/>
    <w:rsid w:val="28C64B8B"/>
    <w:rsid w:val="28F20E26"/>
    <w:rsid w:val="2927562A"/>
    <w:rsid w:val="292860AC"/>
    <w:rsid w:val="29811B51"/>
    <w:rsid w:val="29C70AA4"/>
    <w:rsid w:val="29F8164F"/>
    <w:rsid w:val="2A636B36"/>
    <w:rsid w:val="2AB4113F"/>
    <w:rsid w:val="2B0E622B"/>
    <w:rsid w:val="2B147E30"/>
    <w:rsid w:val="2B21663D"/>
    <w:rsid w:val="2B4C65E4"/>
    <w:rsid w:val="2B4E2C5C"/>
    <w:rsid w:val="2B6F5066"/>
    <w:rsid w:val="2B9D7E8C"/>
    <w:rsid w:val="2BD46058"/>
    <w:rsid w:val="2C273B93"/>
    <w:rsid w:val="2C421158"/>
    <w:rsid w:val="2C444EE5"/>
    <w:rsid w:val="2C4D4F15"/>
    <w:rsid w:val="2C7F752B"/>
    <w:rsid w:val="2C80255E"/>
    <w:rsid w:val="2CC54755"/>
    <w:rsid w:val="2CC557A9"/>
    <w:rsid w:val="2CCF2447"/>
    <w:rsid w:val="2CDB6C56"/>
    <w:rsid w:val="2D1000A9"/>
    <w:rsid w:val="2D11433C"/>
    <w:rsid w:val="2D53381B"/>
    <w:rsid w:val="2DC021D7"/>
    <w:rsid w:val="2DCB03B2"/>
    <w:rsid w:val="2E290FE3"/>
    <w:rsid w:val="2E3E69B3"/>
    <w:rsid w:val="2E861403"/>
    <w:rsid w:val="2EF21392"/>
    <w:rsid w:val="2EF610A0"/>
    <w:rsid w:val="2EF91817"/>
    <w:rsid w:val="2F0E55AC"/>
    <w:rsid w:val="2F9B48B1"/>
    <w:rsid w:val="2FC16088"/>
    <w:rsid w:val="2FC7383A"/>
    <w:rsid w:val="2FED406A"/>
    <w:rsid w:val="2FFA3814"/>
    <w:rsid w:val="300B48FC"/>
    <w:rsid w:val="300D5278"/>
    <w:rsid w:val="30536E9C"/>
    <w:rsid w:val="306163DC"/>
    <w:rsid w:val="306925E3"/>
    <w:rsid w:val="309452F0"/>
    <w:rsid w:val="30B03C1E"/>
    <w:rsid w:val="30E6139A"/>
    <w:rsid w:val="31266676"/>
    <w:rsid w:val="31945C90"/>
    <w:rsid w:val="31B0350F"/>
    <w:rsid w:val="31D200FD"/>
    <w:rsid w:val="321F31E7"/>
    <w:rsid w:val="32432D5F"/>
    <w:rsid w:val="32517538"/>
    <w:rsid w:val="32BB6DE3"/>
    <w:rsid w:val="32E17386"/>
    <w:rsid w:val="32E7797D"/>
    <w:rsid w:val="32EB653A"/>
    <w:rsid w:val="333F550C"/>
    <w:rsid w:val="333F5C66"/>
    <w:rsid w:val="334A00AD"/>
    <w:rsid w:val="33913D9A"/>
    <w:rsid w:val="33C577E5"/>
    <w:rsid w:val="3456735A"/>
    <w:rsid w:val="34732732"/>
    <w:rsid w:val="34880F47"/>
    <w:rsid w:val="34BB0952"/>
    <w:rsid w:val="34CD0057"/>
    <w:rsid w:val="34E02B31"/>
    <w:rsid w:val="34E11595"/>
    <w:rsid w:val="34E23788"/>
    <w:rsid w:val="34F560B3"/>
    <w:rsid w:val="35040F15"/>
    <w:rsid w:val="35336129"/>
    <w:rsid w:val="35756117"/>
    <w:rsid w:val="357B2A17"/>
    <w:rsid w:val="357E1B4C"/>
    <w:rsid w:val="35CB3858"/>
    <w:rsid w:val="35E131A4"/>
    <w:rsid w:val="35F02196"/>
    <w:rsid w:val="360C6A24"/>
    <w:rsid w:val="3616733E"/>
    <w:rsid w:val="36172963"/>
    <w:rsid w:val="361A48B6"/>
    <w:rsid w:val="36214B73"/>
    <w:rsid w:val="367A4287"/>
    <w:rsid w:val="367B6862"/>
    <w:rsid w:val="36965B9D"/>
    <w:rsid w:val="36B50780"/>
    <w:rsid w:val="36D53BDE"/>
    <w:rsid w:val="36E6103A"/>
    <w:rsid w:val="37386C54"/>
    <w:rsid w:val="37517D16"/>
    <w:rsid w:val="37535139"/>
    <w:rsid w:val="37840064"/>
    <w:rsid w:val="37DF3665"/>
    <w:rsid w:val="38055562"/>
    <w:rsid w:val="3814146F"/>
    <w:rsid w:val="38312021"/>
    <w:rsid w:val="388016AB"/>
    <w:rsid w:val="38855EC9"/>
    <w:rsid w:val="38AE1866"/>
    <w:rsid w:val="38F65DA8"/>
    <w:rsid w:val="392801F7"/>
    <w:rsid w:val="397651E3"/>
    <w:rsid w:val="398F42B0"/>
    <w:rsid w:val="39AB5E03"/>
    <w:rsid w:val="39C11183"/>
    <w:rsid w:val="39C9502D"/>
    <w:rsid w:val="39CB1609"/>
    <w:rsid w:val="39E855FF"/>
    <w:rsid w:val="3A145CFF"/>
    <w:rsid w:val="3A2A4F7A"/>
    <w:rsid w:val="3A2C09FC"/>
    <w:rsid w:val="3A6E37BE"/>
    <w:rsid w:val="3A78573D"/>
    <w:rsid w:val="3AA72495"/>
    <w:rsid w:val="3AD62A0C"/>
    <w:rsid w:val="3B2A7273"/>
    <w:rsid w:val="3B365BA1"/>
    <w:rsid w:val="3B5E1AF9"/>
    <w:rsid w:val="3B7F1D55"/>
    <w:rsid w:val="3B8D45DF"/>
    <w:rsid w:val="3BCB6780"/>
    <w:rsid w:val="3BE61375"/>
    <w:rsid w:val="3C1F4887"/>
    <w:rsid w:val="3C2846F1"/>
    <w:rsid w:val="3C4A614C"/>
    <w:rsid w:val="3C5457A1"/>
    <w:rsid w:val="3C596398"/>
    <w:rsid w:val="3C5B0135"/>
    <w:rsid w:val="3C643C9E"/>
    <w:rsid w:val="3C6A3D54"/>
    <w:rsid w:val="3C97441D"/>
    <w:rsid w:val="3CA20495"/>
    <w:rsid w:val="3CCB7B67"/>
    <w:rsid w:val="3CD72BF9"/>
    <w:rsid w:val="3CE01CF1"/>
    <w:rsid w:val="3D313344"/>
    <w:rsid w:val="3D5D19FB"/>
    <w:rsid w:val="3D8A1F66"/>
    <w:rsid w:val="3D9A41C5"/>
    <w:rsid w:val="3DAC5616"/>
    <w:rsid w:val="3DD41A54"/>
    <w:rsid w:val="3DD735BC"/>
    <w:rsid w:val="3DDF607B"/>
    <w:rsid w:val="3E09134A"/>
    <w:rsid w:val="3E2504E1"/>
    <w:rsid w:val="3E5E1ED1"/>
    <w:rsid w:val="3EA56DA8"/>
    <w:rsid w:val="3EAB71FE"/>
    <w:rsid w:val="3EC42C77"/>
    <w:rsid w:val="3EE53B65"/>
    <w:rsid w:val="3EEC4EF4"/>
    <w:rsid w:val="3EEE4396"/>
    <w:rsid w:val="3F2033DB"/>
    <w:rsid w:val="3F6F2A2B"/>
    <w:rsid w:val="3FB847FD"/>
    <w:rsid w:val="3FDB2873"/>
    <w:rsid w:val="3FF07BB3"/>
    <w:rsid w:val="403854EB"/>
    <w:rsid w:val="404D6B1C"/>
    <w:rsid w:val="406867FC"/>
    <w:rsid w:val="40970437"/>
    <w:rsid w:val="40B76E3C"/>
    <w:rsid w:val="41033FEE"/>
    <w:rsid w:val="410A5BD1"/>
    <w:rsid w:val="416F6D2C"/>
    <w:rsid w:val="41C5681F"/>
    <w:rsid w:val="41D41C6F"/>
    <w:rsid w:val="42234BB5"/>
    <w:rsid w:val="425912B6"/>
    <w:rsid w:val="42595D90"/>
    <w:rsid w:val="42720799"/>
    <w:rsid w:val="42B37AD7"/>
    <w:rsid w:val="42CD0A98"/>
    <w:rsid w:val="42D2623B"/>
    <w:rsid w:val="430F736E"/>
    <w:rsid w:val="431A0C09"/>
    <w:rsid w:val="43210EE4"/>
    <w:rsid w:val="434A7747"/>
    <w:rsid w:val="437B7F20"/>
    <w:rsid w:val="439972F2"/>
    <w:rsid w:val="43B104BA"/>
    <w:rsid w:val="43B86866"/>
    <w:rsid w:val="445643E2"/>
    <w:rsid w:val="44783E9F"/>
    <w:rsid w:val="4489508F"/>
    <w:rsid w:val="45831A0B"/>
    <w:rsid w:val="45CC14CF"/>
    <w:rsid w:val="45EB6C16"/>
    <w:rsid w:val="46152922"/>
    <w:rsid w:val="46194489"/>
    <w:rsid w:val="4690085B"/>
    <w:rsid w:val="46BF2EEE"/>
    <w:rsid w:val="46CE3571"/>
    <w:rsid w:val="46D00C57"/>
    <w:rsid w:val="46DA3884"/>
    <w:rsid w:val="4729480B"/>
    <w:rsid w:val="473604B5"/>
    <w:rsid w:val="477F6295"/>
    <w:rsid w:val="479B2226"/>
    <w:rsid w:val="480E2158"/>
    <w:rsid w:val="481C5318"/>
    <w:rsid w:val="483879E2"/>
    <w:rsid w:val="4857637F"/>
    <w:rsid w:val="485C23FD"/>
    <w:rsid w:val="48626D9B"/>
    <w:rsid w:val="486F0BD4"/>
    <w:rsid w:val="48A02FEC"/>
    <w:rsid w:val="49075EB9"/>
    <w:rsid w:val="490C21FE"/>
    <w:rsid w:val="49171181"/>
    <w:rsid w:val="4929464F"/>
    <w:rsid w:val="493F79D7"/>
    <w:rsid w:val="49644BD2"/>
    <w:rsid w:val="496B7A53"/>
    <w:rsid w:val="49EC67F4"/>
    <w:rsid w:val="49F47B5D"/>
    <w:rsid w:val="4A0C3400"/>
    <w:rsid w:val="4A1C322F"/>
    <w:rsid w:val="4A3B394B"/>
    <w:rsid w:val="4A450C78"/>
    <w:rsid w:val="4A5120AF"/>
    <w:rsid w:val="4A6E2C61"/>
    <w:rsid w:val="4A840F83"/>
    <w:rsid w:val="4AA77F21"/>
    <w:rsid w:val="4AE47CDE"/>
    <w:rsid w:val="4AF30332"/>
    <w:rsid w:val="4B646309"/>
    <w:rsid w:val="4B65373A"/>
    <w:rsid w:val="4B6A35BC"/>
    <w:rsid w:val="4C026DB0"/>
    <w:rsid w:val="4C116304"/>
    <w:rsid w:val="4C8A3367"/>
    <w:rsid w:val="4C930DA8"/>
    <w:rsid w:val="4CC654BF"/>
    <w:rsid w:val="4D00163A"/>
    <w:rsid w:val="4D015F24"/>
    <w:rsid w:val="4D3A55F0"/>
    <w:rsid w:val="4D697710"/>
    <w:rsid w:val="4D6D5069"/>
    <w:rsid w:val="4D783DF7"/>
    <w:rsid w:val="4D820FE4"/>
    <w:rsid w:val="4D84637D"/>
    <w:rsid w:val="4DAA1B9B"/>
    <w:rsid w:val="4DAD6072"/>
    <w:rsid w:val="4DBB1907"/>
    <w:rsid w:val="4E0245DC"/>
    <w:rsid w:val="4E4D173A"/>
    <w:rsid w:val="4E772300"/>
    <w:rsid w:val="4E9F706E"/>
    <w:rsid w:val="4EA8070C"/>
    <w:rsid w:val="4EAA119F"/>
    <w:rsid w:val="4ECE0172"/>
    <w:rsid w:val="4EFE1245"/>
    <w:rsid w:val="4F0F5BE3"/>
    <w:rsid w:val="4F2B262C"/>
    <w:rsid w:val="4F321701"/>
    <w:rsid w:val="4F566D5B"/>
    <w:rsid w:val="4F590F9B"/>
    <w:rsid w:val="4F715FBE"/>
    <w:rsid w:val="4F881DD2"/>
    <w:rsid w:val="4F9E06EF"/>
    <w:rsid w:val="500743ED"/>
    <w:rsid w:val="500A0A51"/>
    <w:rsid w:val="500B7DA5"/>
    <w:rsid w:val="50224F4C"/>
    <w:rsid w:val="502E6961"/>
    <w:rsid w:val="50403400"/>
    <w:rsid w:val="505E5526"/>
    <w:rsid w:val="50814A2E"/>
    <w:rsid w:val="50C35389"/>
    <w:rsid w:val="50D254CE"/>
    <w:rsid w:val="510C1AD5"/>
    <w:rsid w:val="510F4A72"/>
    <w:rsid w:val="51477E34"/>
    <w:rsid w:val="51A943A5"/>
    <w:rsid w:val="51B03129"/>
    <w:rsid w:val="51B20ACD"/>
    <w:rsid w:val="51B82A14"/>
    <w:rsid w:val="52010488"/>
    <w:rsid w:val="521F0CE5"/>
    <w:rsid w:val="52422029"/>
    <w:rsid w:val="524D5DCD"/>
    <w:rsid w:val="52616BAE"/>
    <w:rsid w:val="52814018"/>
    <w:rsid w:val="52923265"/>
    <w:rsid w:val="529C3721"/>
    <w:rsid w:val="52CF0C4F"/>
    <w:rsid w:val="52D37212"/>
    <w:rsid w:val="52F57B46"/>
    <w:rsid w:val="52FF3B12"/>
    <w:rsid w:val="5301404C"/>
    <w:rsid w:val="530F2B07"/>
    <w:rsid w:val="533267F6"/>
    <w:rsid w:val="53891AF7"/>
    <w:rsid w:val="53A438C3"/>
    <w:rsid w:val="53C17B7A"/>
    <w:rsid w:val="53EC4936"/>
    <w:rsid w:val="53F05258"/>
    <w:rsid w:val="53FA202D"/>
    <w:rsid w:val="540C23E1"/>
    <w:rsid w:val="540D2581"/>
    <w:rsid w:val="5479570C"/>
    <w:rsid w:val="54B3453A"/>
    <w:rsid w:val="54BB568B"/>
    <w:rsid w:val="54C15ACB"/>
    <w:rsid w:val="54D846ED"/>
    <w:rsid w:val="55040901"/>
    <w:rsid w:val="551B1C37"/>
    <w:rsid w:val="5541273A"/>
    <w:rsid w:val="558C3ECD"/>
    <w:rsid w:val="559351F5"/>
    <w:rsid w:val="55A62D87"/>
    <w:rsid w:val="563F3703"/>
    <w:rsid w:val="56475F07"/>
    <w:rsid w:val="56530F5D"/>
    <w:rsid w:val="567E0D90"/>
    <w:rsid w:val="5684679D"/>
    <w:rsid w:val="56CD73C9"/>
    <w:rsid w:val="56DF05DE"/>
    <w:rsid w:val="56F70118"/>
    <w:rsid w:val="56F72230"/>
    <w:rsid w:val="579161E1"/>
    <w:rsid w:val="57AD03DC"/>
    <w:rsid w:val="57C727B0"/>
    <w:rsid w:val="57DE484E"/>
    <w:rsid w:val="57FC6189"/>
    <w:rsid w:val="58035BF4"/>
    <w:rsid w:val="580E39B4"/>
    <w:rsid w:val="5823259F"/>
    <w:rsid w:val="586B755C"/>
    <w:rsid w:val="586C12F4"/>
    <w:rsid w:val="58882378"/>
    <w:rsid w:val="58CE139A"/>
    <w:rsid w:val="590826D8"/>
    <w:rsid w:val="590E38BE"/>
    <w:rsid w:val="592216BA"/>
    <w:rsid w:val="592340EB"/>
    <w:rsid w:val="59690A2E"/>
    <w:rsid w:val="597B0EDE"/>
    <w:rsid w:val="59B70776"/>
    <w:rsid w:val="59C208D3"/>
    <w:rsid w:val="5A056018"/>
    <w:rsid w:val="5A465851"/>
    <w:rsid w:val="5AEE73F8"/>
    <w:rsid w:val="5B2B06FA"/>
    <w:rsid w:val="5B532A0F"/>
    <w:rsid w:val="5B5A2123"/>
    <w:rsid w:val="5B697447"/>
    <w:rsid w:val="5B8352C6"/>
    <w:rsid w:val="5B8B43D5"/>
    <w:rsid w:val="5BC26B5C"/>
    <w:rsid w:val="5BE9497A"/>
    <w:rsid w:val="5C25339C"/>
    <w:rsid w:val="5C50535F"/>
    <w:rsid w:val="5C844CCC"/>
    <w:rsid w:val="5C993C03"/>
    <w:rsid w:val="5CCD707A"/>
    <w:rsid w:val="5D1859F9"/>
    <w:rsid w:val="5D1B53A8"/>
    <w:rsid w:val="5D423AD9"/>
    <w:rsid w:val="5D524382"/>
    <w:rsid w:val="5D536D5C"/>
    <w:rsid w:val="5D83481E"/>
    <w:rsid w:val="5D8C4BED"/>
    <w:rsid w:val="5D8C5540"/>
    <w:rsid w:val="5DCF73EF"/>
    <w:rsid w:val="5DEE5F42"/>
    <w:rsid w:val="5DF218C2"/>
    <w:rsid w:val="5DF721D2"/>
    <w:rsid w:val="5EA031AD"/>
    <w:rsid w:val="5EFA5929"/>
    <w:rsid w:val="5F017575"/>
    <w:rsid w:val="5F073306"/>
    <w:rsid w:val="5F1119B5"/>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F34D9"/>
    <w:rsid w:val="60C44F74"/>
    <w:rsid w:val="60DC120F"/>
    <w:rsid w:val="60E36F4B"/>
    <w:rsid w:val="60F23368"/>
    <w:rsid w:val="60F5158E"/>
    <w:rsid w:val="6119036A"/>
    <w:rsid w:val="611E3173"/>
    <w:rsid w:val="61271D5C"/>
    <w:rsid w:val="613829FB"/>
    <w:rsid w:val="617B1E5D"/>
    <w:rsid w:val="61895909"/>
    <w:rsid w:val="61937516"/>
    <w:rsid w:val="61B94A27"/>
    <w:rsid w:val="61F5665D"/>
    <w:rsid w:val="62016C74"/>
    <w:rsid w:val="620660FB"/>
    <w:rsid w:val="623C31ED"/>
    <w:rsid w:val="62772231"/>
    <w:rsid w:val="62C10F53"/>
    <w:rsid w:val="62FE04A2"/>
    <w:rsid w:val="633A4FE5"/>
    <w:rsid w:val="63C156E5"/>
    <w:rsid w:val="63E74D4D"/>
    <w:rsid w:val="640209CD"/>
    <w:rsid w:val="64234664"/>
    <w:rsid w:val="645C7B76"/>
    <w:rsid w:val="64747A8A"/>
    <w:rsid w:val="649E7723"/>
    <w:rsid w:val="64A5210F"/>
    <w:rsid w:val="658D79C4"/>
    <w:rsid w:val="65D33A39"/>
    <w:rsid w:val="65D86874"/>
    <w:rsid w:val="66304E17"/>
    <w:rsid w:val="664B39FF"/>
    <w:rsid w:val="66B772E6"/>
    <w:rsid w:val="66CA24B2"/>
    <w:rsid w:val="66CA7019"/>
    <w:rsid w:val="66E13E6B"/>
    <w:rsid w:val="67265DC6"/>
    <w:rsid w:val="67577A52"/>
    <w:rsid w:val="676F7BC1"/>
    <w:rsid w:val="67851192"/>
    <w:rsid w:val="67A47F2F"/>
    <w:rsid w:val="67C003E2"/>
    <w:rsid w:val="67C717AB"/>
    <w:rsid w:val="67F65BEC"/>
    <w:rsid w:val="67F87268"/>
    <w:rsid w:val="6838144E"/>
    <w:rsid w:val="683B64F9"/>
    <w:rsid w:val="6848469A"/>
    <w:rsid w:val="684B0C2A"/>
    <w:rsid w:val="68531405"/>
    <w:rsid w:val="68790CF7"/>
    <w:rsid w:val="687C100B"/>
    <w:rsid w:val="689254AB"/>
    <w:rsid w:val="68A336B9"/>
    <w:rsid w:val="68AA7398"/>
    <w:rsid w:val="69082AA1"/>
    <w:rsid w:val="69272054"/>
    <w:rsid w:val="69283F28"/>
    <w:rsid w:val="692D388F"/>
    <w:rsid w:val="6942248C"/>
    <w:rsid w:val="6966319B"/>
    <w:rsid w:val="696D69A7"/>
    <w:rsid w:val="697A2F79"/>
    <w:rsid w:val="69847953"/>
    <w:rsid w:val="698C5584"/>
    <w:rsid w:val="69A9560C"/>
    <w:rsid w:val="69BF1AAA"/>
    <w:rsid w:val="69D92156"/>
    <w:rsid w:val="6A4067C4"/>
    <w:rsid w:val="6A6D2E0E"/>
    <w:rsid w:val="6A805D03"/>
    <w:rsid w:val="6A8F4802"/>
    <w:rsid w:val="6A946AB8"/>
    <w:rsid w:val="6AB4102B"/>
    <w:rsid w:val="6ACF541B"/>
    <w:rsid w:val="6AD62431"/>
    <w:rsid w:val="6B200D16"/>
    <w:rsid w:val="6B3E3371"/>
    <w:rsid w:val="6B524E15"/>
    <w:rsid w:val="6B640ADF"/>
    <w:rsid w:val="6B931CAD"/>
    <w:rsid w:val="6BB63E9E"/>
    <w:rsid w:val="6BFE053D"/>
    <w:rsid w:val="6C0905E4"/>
    <w:rsid w:val="6C1A459F"/>
    <w:rsid w:val="6C3F1E8F"/>
    <w:rsid w:val="6C566AAA"/>
    <w:rsid w:val="6C6E4D0A"/>
    <w:rsid w:val="6C8F3CA7"/>
    <w:rsid w:val="6C9500C9"/>
    <w:rsid w:val="6C9E3A9C"/>
    <w:rsid w:val="6CA93935"/>
    <w:rsid w:val="6CB63947"/>
    <w:rsid w:val="6CB85659"/>
    <w:rsid w:val="6CD419AC"/>
    <w:rsid w:val="6D0D4104"/>
    <w:rsid w:val="6D3C3B0C"/>
    <w:rsid w:val="6D595D89"/>
    <w:rsid w:val="6D64140D"/>
    <w:rsid w:val="6D773C65"/>
    <w:rsid w:val="6D8A5754"/>
    <w:rsid w:val="6E061F60"/>
    <w:rsid w:val="6E0F3802"/>
    <w:rsid w:val="6E143CAC"/>
    <w:rsid w:val="6E3614EB"/>
    <w:rsid w:val="6E3F653F"/>
    <w:rsid w:val="6E542A9F"/>
    <w:rsid w:val="6E624923"/>
    <w:rsid w:val="6E7A0CB3"/>
    <w:rsid w:val="6E87721D"/>
    <w:rsid w:val="6EB615C6"/>
    <w:rsid w:val="6EB96428"/>
    <w:rsid w:val="6EBC4276"/>
    <w:rsid w:val="6EC22B1B"/>
    <w:rsid w:val="6F35524C"/>
    <w:rsid w:val="6F3C1A06"/>
    <w:rsid w:val="6F97D24A"/>
    <w:rsid w:val="6F9D176F"/>
    <w:rsid w:val="6F9F2183"/>
    <w:rsid w:val="6FB20B9F"/>
    <w:rsid w:val="6FC0050A"/>
    <w:rsid w:val="6FC96806"/>
    <w:rsid w:val="6FCA71E0"/>
    <w:rsid w:val="6FDE3B35"/>
    <w:rsid w:val="6FF10430"/>
    <w:rsid w:val="70625D85"/>
    <w:rsid w:val="70853504"/>
    <w:rsid w:val="70C11743"/>
    <w:rsid w:val="70F0185C"/>
    <w:rsid w:val="711A6DEF"/>
    <w:rsid w:val="718906DB"/>
    <w:rsid w:val="71A62D95"/>
    <w:rsid w:val="71E909FE"/>
    <w:rsid w:val="71F15DA2"/>
    <w:rsid w:val="722E4900"/>
    <w:rsid w:val="723D30E3"/>
    <w:rsid w:val="724953A1"/>
    <w:rsid w:val="725162FB"/>
    <w:rsid w:val="725F05A5"/>
    <w:rsid w:val="72640321"/>
    <w:rsid w:val="727644F9"/>
    <w:rsid w:val="728D4703"/>
    <w:rsid w:val="72A53E47"/>
    <w:rsid w:val="72AC71C6"/>
    <w:rsid w:val="72AE2CD6"/>
    <w:rsid w:val="72C85A38"/>
    <w:rsid w:val="73016E15"/>
    <w:rsid w:val="73441F01"/>
    <w:rsid w:val="734D6933"/>
    <w:rsid w:val="735250B0"/>
    <w:rsid w:val="735A5AEC"/>
    <w:rsid w:val="73660117"/>
    <w:rsid w:val="737C2A4C"/>
    <w:rsid w:val="73990F3E"/>
    <w:rsid w:val="739C3AEB"/>
    <w:rsid w:val="739D114F"/>
    <w:rsid w:val="739D500D"/>
    <w:rsid w:val="73B15F3E"/>
    <w:rsid w:val="73BD5740"/>
    <w:rsid w:val="73CB2AFD"/>
    <w:rsid w:val="73CE3DC7"/>
    <w:rsid w:val="740B06A5"/>
    <w:rsid w:val="74212243"/>
    <w:rsid w:val="742C597A"/>
    <w:rsid w:val="7459167A"/>
    <w:rsid w:val="74675EA7"/>
    <w:rsid w:val="746C3D16"/>
    <w:rsid w:val="74A13052"/>
    <w:rsid w:val="74AD7F42"/>
    <w:rsid w:val="74EE1B48"/>
    <w:rsid w:val="74EF107F"/>
    <w:rsid w:val="74F17E67"/>
    <w:rsid w:val="75004B37"/>
    <w:rsid w:val="752915E7"/>
    <w:rsid w:val="75296EFD"/>
    <w:rsid w:val="753E0157"/>
    <w:rsid w:val="75B710B1"/>
    <w:rsid w:val="75D85012"/>
    <w:rsid w:val="76114C7B"/>
    <w:rsid w:val="761D158D"/>
    <w:rsid w:val="767E1BCE"/>
    <w:rsid w:val="76830F93"/>
    <w:rsid w:val="76986298"/>
    <w:rsid w:val="76AA10B0"/>
    <w:rsid w:val="76E13FE0"/>
    <w:rsid w:val="77BA41C7"/>
    <w:rsid w:val="77D706B7"/>
    <w:rsid w:val="77F26C6D"/>
    <w:rsid w:val="77F97408"/>
    <w:rsid w:val="781E6E25"/>
    <w:rsid w:val="78384D3F"/>
    <w:rsid w:val="78654DF4"/>
    <w:rsid w:val="787E7481"/>
    <w:rsid w:val="78894D5F"/>
    <w:rsid w:val="7893212B"/>
    <w:rsid w:val="78BC6FC0"/>
    <w:rsid w:val="78C338C8"/>
    <w:rsid w:val="78E04CFA"/>
    <w:rsid w:val="78F16688"/>
    <w:rsid w:val="7964353D"/>
    <w:rsid w:val="799B65F3"/>
    <w:rsid w:val="79A01DE7"/>
    <w:rsid w:val="79A12D07"/>
    <w:rsid w:val="79BE0C60"/>
    <w:rsid w:val="79ED32F3"/>
    <w:rsid w:val="7A2B5BC9"/>
    <w:rsid w:val="7A5C1F07"/>
    <w:rsid w:val="7A6B3551"/>
    <w:rsid w:val="7A726B8A"/>
    <w:rsid w:val="7ACF29F8"/>
    <w:rsid w:val="7AEE30CB"/>
    <w:rsid w:val="7B006494"/>
    <w:rsid w:val="7B4A02D1"/>
    <w:rsid w:val="7B937ECA"/>
    <w:rsid w:val="7BA06143"/>
    <w:rsid w:val="7BC506FF"/>
    <w:rsid w:val="7C140C39"/>
    <w:rsid w:val="7C167908"/>
    <w:rsid w:val="7C513A51"/>
    <w:rsid w:val="7C5432CE"/>
    <w:rsid w:val="7CCD4D16"/>
    <w:rsid w:val="7D131E23"/>
    <w:rsid w:val="7D173AAB"/>
    <w:rsid w:val="7D677171"/>
    <w:rsid w:val="7E0F3829"/>
    <w:rsid w:val="7E490D14"/>
    <w:rsid w:val="7E5A6A7D"/>
    <w:rsid w:val="7E8F05A6"/>
    <w:rsid w:val="7E9006F1"/>
    <w:rsid w:val="7EAB1087"/>
    <w:rsid w:val="7EEB3B79"/>
    <w:rsid w:val="7EED5DB3"/>
    <w:rsid w:val="7F1301C5"/>
    <w:rsid w:val="7F271055"/>
    <w:rsid w:val="7F330B17"/>
    <w:rsid w:val="7F4F1B59"/>
    <w:rsid w:val="7F726F86"/>
    <w:rsid w:val="7F97D7F2"/>
    <w:rsid w:val="7F9D1317"/>
    <w:rsid w:val="7FAB12E6"/>
    <w:rsid w:val="7FC90DF7"/>
    <w:rsid w:val="7FD34C20"/>
    <w:rsid w:val="7FD60385"/>
    <w:rsid w:val="7FD665D7"/>
    <w:rsid w:val="7FE756E1"/>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4"/>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9"/>
    <w:qFormat/>
    <w:uiPriority w:val="0"/>
    <w:pPr>
      <w:shd w:val="clear" w:color="auto" w:fill="000080"/>
    </w:pPr>
  </w:style>
  <w:style w:type="paragraph" w:styleId="16">
    <w:name w:val="annotation text"/>
    <w:basedOn w:val="1"/>
    <w:link w:val="70"/>
    <w:qFormat/>
    <w:uiPriority w:val="0"/>
    <w:pPr>
      <w:jc w:val="left"/>
    </w:pPr>
  </w:style>
  <w:style w:type="paragraph" w:styleId="17">
    <w:name w:val="Body Text 3"/>
    <w:basedOn w:val="1"/>
    <w:link w:val="71"/>
    <w:qFormat/>
    <w:uiPriority w:val="0"/>
    <w:pPr>
      <w:spacing w:after="120"/>
    </w:pPr>
    <w:rPr>
      <w:sz w:val="16"/>
      <w:szCs w:val="16"/>
    </w:rPr>
  </w:style>
  <w:style w:type="paragraph" w:styleId="18">
    <w:name w:val="Body Text"/>
    <w:basedOn w:val="1"/>
    <w:next w:val="1"/>
    <w:link w:val="72"/>
    <w:qFormat/>
    <w:uiPriority w:val="0"/>
    <w:pPr>
      <w:tabs>
        <w:tab w:val="left" w:pos="567"/>
      </w:tabs>
      <w:spacing w:before="120" w:line="22" w:lineRule="atLeast"/>
    </w:pPr>
    <w:rPr>
      <w:rFonts w:ascii="宋体" w:hAnsi="宋体"/>
      <w:sz w:val="24"/>
    </w:rPr>
  </w:style>
  <w:style w:type="paragraph" w:styleId="19">
    <w:name w:val="Body Text Indent"/>
    <w:basedOn w:val="1"/>
    <w:next w:val="1"/>
    <w:link w:val="73"/>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4"/>
    <w:link w:val="7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5"/>
    <w:qFormat/>
    <w:uiPriority w:val="0"/>
    <w:pPr>
      <w:ind w:left="100" w:leftChars="2500"/>
    </w:pPr>
    <w:rPr>
      <w:rFonts w:ascii="仿宋_GB2312" w:hAnsi="宋体" w:eastAsia="仿宋_GB2312"/>
      <w:color w:val="000000"/>
      <w:sz w:val="24"/>
    </w:rPr>
  </w:style>
  <w:style w:type="paragraph" w:styleId="27">
    <w:name w:val="Body Text Indent 2"/>
    <w:basedOn w:val="1"/>
    <w:link w:val="76"/>
    <w:qFormat/>
    <w:uiPriority w:val="0"/>
    <w:pPr>
      <w:ind w:firstLine="480" w:firstLineChars="200"/>
    </w:pPr>
    <w:rPr>
      <w:rFonts w:ascii="仿宋_GB2312" w:eastAsia="仿宋_GB2312"/>
      <w:sz w:val="24"/>
    </w:rPr>
  </w:style>
  <w:style w:type="paragraph" w:styleId="28">
    <w:name w:val="Balloon Text"/>
    <w:basedOn w:val="1"/>
    <w:link w:val="77"/>
    <w:qFormat/>
    <w:uiPriority w:val="0"/>
    <w:rPr>
      <w:sz w:val="18"/>
      <w:szCs w:val="18"/>
    </w:rPr>
  </w:style>
  <w:style w:type="paragraph" w:styleId="29">
    <w:name w:val="footer"/>
    <w:basedOn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2"/>
    <w:qFormat/>
    <w:uiPriority w:val="0"/>
    <w:pPr>
      <w:jc w:val="center"/>
      <w:outlineLvl w:val="0"/>
    </w:pPr>
    <w:rPr>
      <w:b/>
      <w:sz w:val="32"/>
      <w:szCs w:val="20"/>
    </w:rPr>
  </w:style>
  <w:style w:type="paragraph" w:styleId="44">
    <w:name w:val="annotation subject"/>
    <w:basedOn w:val="16"/>
    <w:next w:val="16"/>
    <w:link w:val="83"/>
    <w:qFormat/>
    <w:uiPriority w:val="0"/>
    <w:rPr>
      <w:b/>
      <w:bCs/>
    </w:rPr>
  </w:style>
  <w:style w:type="paragraph" w:styleId="45">
    <w:name w:val="Body Text First Indent"/>
    <w:basedOn w:val="18"/>
    <w:qFormat/>
    <w:uiPriority w:val="0"/>
    <w:pPr>
      <w:ind w:firstLine="420"/>
    </w:pPr>
    <w:rPr>
      <w:szCs w:val="20"/>
    </w:rPr>
  </w:style>
  <w:style w:type="paragraph" w:styleId="46">
    <w:name w:val="Body Text First Indent 2"/>
    <w:basedOn w:val="19"/>
    <w:next w:val="1"/>
    <w:link w:val="85"/>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paragraph" w:customStyle="1" w:styleId="5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9">
    <w:name w:val="标题 1 字符"/>
    <w:link w:val="2"/>
    <w:qFormat/>
    <w:uiPriority w:val="0"/>
    <w:rPr>
      <w:rFonts w:ascii="宋体"/>
      <w:b/>
      <w:kern w:val="44"/>
      <w:sz w:val="32"/>
    </w:rPr>
  </w:style>
  <w:style w:type="character" w:customStyle="1" w:styleId="60">
    <w:name w:val="标题 2 字符"/>
    <w:link w:val="3"/>
    <w:qFormat/>
    <w:uiPriority w:val="0"/>
    <w:rPr>
      <w:rFonts w:ascii="Arial" w:hAnsi="Arial" w:eastAsia="黑体"/>
      <w:b/>
      <w:sz w:val="30"/>
      <w:lang w:val="en-US" w:eastAsia="zh-CN" w:bidi="ar-SA"/>
    </w:rPr>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标题 3 字符"/>
    <w:link w:val="5"/>
    <w:qFormat/>
    <w:uiPriority w:val="0"/>
    <w:rPr>
      <w:rFonts w:ascii="宋体" w:eastAsia="宋体"/>
      <w:b/>
      <w:sz w:val="24"/>
      <w:u w:val="single"/>
      <w:lang w:val="en-US" w:eastAsia="zh-CN" w:bidi="ar-SA"/>
    </w:rPr>
  </w:style>
  <w:style w:type="character" w:customStyle="1" w:styleId="63">
    <w:name w:val="标题 4 字符"/>
    <w:link w:val="6"/>
    <w:qFormat/>
    <w:uiPriority w:val="0"/>
    <w:rPr>
      <w:rFonts w:ascii="Arial" w:hAnsi="Arial" w:eastAsia="黑体"/>
      <w:b/>
      <w:sz w:val="28"/>
    </w:rPr>
  </w:style>
  <w:style w:type="character" w:customStyle="1" w:styleId="64">
    <w:name w:val="标题 5 字符"/>
    <w:link w:val="7"/>
    <w:qFormat/>
    <w:uiPriority w:val="0"/>
    <w:rPr>
      <w:b/>
      <w:sz w:val="28"/>
    </w:rPr>
  </w:style>
  <w:style w:type="character" w:customStyle="1" w:styleId="65">
    <w:name w:val="标题 6 字符"/>
    <w:link w:val="8"/>
    <w:qFormat/>
    <w:uiPriority w:val="0"/>
    <w:rPr>
      <w:rFonts w:ascii="Arial" w:hAnsi="Arial" w:eastAsia="黑体"/>
      <w:b/>
      <w:sz w:val="24"/>
    </w:rPr>
  </w:style>
  <w:style w:type="character" w:customStyle="1" w:styleId="66">
    <w:name w:val="标题 7 字符"/>
    <w:link w:val="9"/>
    <w:qFormat/>
    <w:uiPriority w:val="0"/>
    <w:rPr>
      <w:b/>
      <w:sz w:val="24"/>
    </w:rPr>
  </w:style>
  <w:style w:type="character" w:customStyle="1" w:styleId="67">
    <w:name w:val="标题 8 字符"/>
    <w:link w:val="10"/>
    <w:qFormat/>
    <w:uiPriority w:val="0"/>
    <w:rPr>
      <w:rFonts w:ascii="Arial" w:hAnsi="Arial" w:eastAsia="黑体"/>
      <w:sz w:val="24"/>
    </w:rPr>
  </w:style>
  <w:style w:type="character" w:customStyle="1" w:styleId="68">
    <w:name w:val="标题 9 字符"/>
    <w:link w:val="11"/>
    <w:qFormat/>
    <w:uiPriority w:val="0"/>
    <w:rPr>
      <w:rFonts w:ascii="Arial" w:hAnsi="Arial" w:eastAsia="黑体"/>
      <w:sz w:val="21"/>
    </w:rPr>
  </w:style>
  <w:style w:type="character" w:customStyle="1" w:styleId="69">
    <w:name w:val="文档结构图 字符"/>
    <w:link w:val="15"/>
    <w:qFormat/>
    <w:uiPriority w:val="0"/>
    <w:rPr>
      <w:kern w:val="2"/>
      <w:sz w:val="21"/>
      <w:szCs w:val="24"/>
      <w:shd w:val="clear" w:color="auto" w:fill="000080"/>
    </w:rPr>
  </w:style>
  <w:style w:type="character" w:customStyle="1" w:styleId="70">
    <w:name w:val="批注文字 字符1"/>
    <w:link w:val="16"/>
    <w:qFormat/>
    <w:uiPriority w:val="99"/>
    <w:rPr>
      <w:kern w:val="2"/>
      <w:sz w:val="21"/>
      <w:szCs w:val="24"/>
    </w:rPr>
  </w:style>
  <w:style w:type="character" w:customStyle="1" w:styleId="71">
    <w:name w:val="正文文本 3 字符"/>
    <w:link w:val="17"/>
    <w:qFormat/>
    <w:uiPriority w:val="0"/>
    <w:rPr>
      <w:kern w:val="2"/>
      <w:sz w:val="16"/>
      <w:szCs w:val="16"/>
    </w:rPr>
  </w:style>
  <w:style w:type="character" w:customStyle="1" w:styleId="72">
    <w:name w:val="正文文本 字符"/>
    <w:link w:val="18"/>
    <w:qFormat/>
    <w:uiPriority w:val="0"/>
    <w:rPr>
      <w:rFonts w:ascii="宋体" w:hAnsi="宋体"/>
      <w:kern w:val="2"/>
      <w:sz w:val="24"/>
      <w:szCs w:val="24"/>
    </w:rPr>
  </w:style>
  <w:style w:type="character" w:customStyle="1" w:styleId="73">
    <w:name w:val="正文文本缩进 字符"/>
    <w:link w:val="19"/>
    <w:qFormat/>
    <w:uiPriority w:val="0"/>
    <w:rPr>
      <w:rFonts w:eastAsia="宋体"/>
      <w:kern w:val="2"/>
      <w:sz w:val="24"/>
      <w:szCs w:val="24"/>
      <w:lang w:val="en-US" w:eastAsia="zh-CN" w:bidi="ar-SA"/>
    </w:rPr>
  </w:style>
  <w:style w:type="character" w:customStyle="1" w:styleId="74">
    <w:name w:val="纯文本 字符2"/>
    <w:link w:val="24"/>
    <w:qFormat/>
    <w:uiPriority w:val="0"/>
    <w:rPr>
      <w:rFonts w:hint="eastAsia" w:ascii="宋体" w:hAnsi="Courier New" w:eastAsia="宋体" w:cs="宋体"/>
      <w:kern w:val="2"/>
      <w:sz w:val="21"/>
    </w:rPr>
  </w:style>
  <w:style w:type="character" w:customStyle="1" w:styleId="75">
    <w:name w:val="日期 字符"/>
    <w:link w:val="26"/>
    <w:qFormat/>
    <w:uiPriority w:val="0"/>
    <w:rPr>
      <w:rFonts w:ascii="仿宋_GB2312" w:hAnsi="宋体" w:eastAsia="仿宋_GB2312"/>
      <w:color w:val="000000"/>
      <w:kern w:val="2"/>
      <w:sz w:val="24"/>
      <w:szCs w:val="24"/>
    </w:rPr>
  </w:style>
  <w:style w:type="character" w:customStyle="1" w:styleId="76">
    <w:name w:val="正文文本缩进 2 字符"/>
    <w:link w:val="27"/>
    <w:qFormat/>
    <w:uiPriority w:val="0"/>
    <w:rPr>
      <w:rFonts w:ascii="仿宋_GB2312" w:eastAsia="仿宋_GB2312"/>
      <w:kern w:val="2"/>
      <w:sz w:val="24"/>
      <w:szCs w:val="24"/>
    </w:rPr>
  </w:style>
  <w:style w:type="character" w:customStyle="1" w:styleId="77">
    <w:name w:val="批注框文本 字符"/>
    <w:link w:val="28"/>
    <w:qFormat/>
    <w:uiPriority w:val="0"/>
    <w:rPr>
      <w:kern w:val="2"/>
      <w:sz w:val="18"/>
      <w:szCs w:val="18"/>
    </w:rPr>
  </w:style>
  <w:style w:type="character" w:customStyle="1" w:styleId="78">
    <w:name w:val="页脚 字符"/>
    <w:link w:val="29"/>
    <w:qFormat/>
    <w:uiPriority w:val="99"/>
    <w:rPr>
      <w:rFonts w:ascii="宋体" w:eastAsia="宋体"/>
      <w:sz w:val="18"/>
      <w:lang w:val="en-US" w:eastAsia="zh-CN" w:bidi="ar-SA"/>
    </w:rPr>
  </w:style>
  <w:style w:type="character" w:customStyle="1" w:styleId="79">
    <w:name w:val="页眉 字符"/>
    <w:link w:val="31"/>
    <w:qFormat/>
    <w:uiPriority w:val="0"/>
    <w:rPr>
      <w:rFonts w:eastAsia="宋体"/>
      <w:kern w:val="2"/>
      <w:sz w:val="18"/>
      <w:szCs w:val="18"/>
      <w:lang w:val="en-US" w:eastAsia="zh-CN" w:bidi="ar-SA"/>
    </w:rPr>
  </w:style>
  <w:style w:type="character" w:customStyle="1" w:styleId="80">
    <w:name w:val="正文文本缩进 3 字符"/>
    <w:link w:val="37"/>
    <w:qFormat/>
    <w:uiPriority w:val="0"/>
    <w:rPr>
      <w:rFonts w:ascii="宋体"/>
      <w:sz w:val="24"/>
    </w:rPr>
  </w:style>
  <w:style w:type="character" w:customStyle="1" w:styleId="81">
    <w:name w:val="HTML 预设格式 字符"/>
    <w:link w:val="40"/>
    <w:qFormat/>
    <w:uiPriority w:val="0"/>
    <w:rPr>
      <w:rFonts w:ascii="宋体" w:hAnsi="宋体" w:cs="宋体"/>
      <w:sz w:val="24"/>
      <w:szCs w:val="24"/>
    </w:rPr>
  </w:style>
  <w:style w:type="character" w:customStyle="1" w:styleId="82">
    <w:name w:val="标题 字符"/>
    <w:link w:val="43"/>
    <w:qFormat/>
    <w:uiPriority w:val="0"/>
    <w:rPr>
      <w:b/>
      <w:kern w:val="2"/>
      <w:sz w:val="32"/>
    </w:rPr>
  </w:style>
  <w:style w:type="character" w:customStyle="1" w:styleId="83">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4">
    <w:name w:val="批注文字 字符"/>
    <w:qFormat/>
    <w:uiPriority w:val="99"/>
    <w:rPr>
      <w:rFonts w:ascii="Times New Roman" w:hAnsi="Times New Roman" w:eastAsia="宋体" w:cs="Times New Roman"/>
      <w:sz w:val="24"/>
      <w:lang w:val="en-US" w:eastAsia="zh-CN" w:bidi="ar-SA"/>
    </w:rPr>
  </w:style>
  <w:style w:type="character" w:customStyle="1" w:styleId="85">
    <w:name w:val="正文首行缩进 2 字符"/>
    <w:link w:val="46"/>
    <w:qFormat/>
    <w:uiPriority w:val="0"/>
    <w:rPr>
      <w:rFonts w:eastAsia="宋体"/>
      <w:kern w:val="2"/>
      <w:sz w:val="24"/>
      <w:szCs w:val="24"/>
      <w:lang w:val="en-US" w:eastAsia="zh-CN" w:bidi="ar-SA"/>
    </w:rPr>
  </w:style>
  <w:style w:type="character" w:customStyle="1" w:styleId="86">
    <w:name w:val="Char Char111"/>
    <w:qFormat/>
    <w:uiPriority w:val="0"/>
    <w:rPr>
      <w:rFonts w:ascii="宋体" w:eastAsia="宋体"/>
      <w:b/>
      <w:sz w:val="24"/>
      <w:u w:val="single"/>
      <w:lang w:val="en-US" w:eastAsia="zh-CN" w:bidi="ar-SA"/>
    </w:rPr>
  </w:style>
  <w:style w:type="character" w:customStyle="1" w:styleId="87">
    <w:name w:val="bjh-p"/>
    <w:qFormat/>
    <w:uiPriority w:val="0"/>
  </w:style>
  <w:style w:type="character" w:customStyle="1" w:styleId="88">
    <w:name w:val="纯文本 字符"/>
    <w:qFormat/>
    <w:uiPriority w:val="99"/>
    <w:rPr>
      <w:rFonts w:ascii="宋体" w:hAnsi="Courier New" w:eastAsia="宋体" w:cs="Times New Roman"/>
      <w:kern w:val="2"/>
      <w:sz w:val="21"/>
      <w:szCs w:val="21"/>
      <w:lang w:val="en-US" w:eastAsia="zh-CN" w:bidi="ar-SA"/>
    </w:rPr>
  </w:style>
  <w:style w:type="character" w:customStyle="1" w:styleId="89">
    <w:name w:val="正文重点 Char"/>
    <w:link w:val="90"/>
    <w:qFormat/>
    <w:uiPriority w:val="0"/>
    <w:rPr>
      <w:b/>
      <w:sz w:val="24"/>
    </w:rPr>
  </w:style>
  <w:style w:type="paragraph" w:customStyle="1" w:styleId="90">
    <w:name w:val="正文重点"/>
    <w:basedOn w:val="1"/>
    <w:link w:val="89"/>
    <w:qFormat/>
    <w:uiPriority w:val="0"/>
    <w:pPr>
      <w:adjustRightInd w:val="0"/>
      <w:spacing w:line="360" w:lineRule="auto"/>
      <w:ind w:firstLine="482" w:firstLineChars="200"/>
      <w:jc w:val="left"/>
      <w:textAlignment w:val="baseline"/>
    </w:pPr>
    <w:rPr>
      <w:b/>
      <w:kern w:val="0"/>
      <w:sz w:val="24"/>
      <w:szCs w:val="20"/>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chanpin1"/>
    <w:qFormat/>
    <w:uiPriority w:val="0"/>
    <w:rPr>
      <w:rFonts w:hint="default" w:ascii="ˎ̥" w:hAnsi="ˎ̥"/>
      <w:color w:val="000000"/>
      <w:sz w:val="20"/>
      <w:szCs w:val="20"/>
      <w:u w:val="none"/>
    </w:rPr>
  </w:style>
  <w:style w:type="character" w:customStyle="1" w:styleId="93">
    <w:name w:val="标题 Char"/>
    <w:qFormat/>
    <w:uiPriority w:val="0"/>
    <w:rPr>
      <w:b/>
      <w:kern w:val="2"/>
      <w:sz w:val="32"/>
    </w:rPr>
  </w:style>
  <w:style w:type="character" w:customStyle="1" w:styleId="94">
    <w:name w:val="段1 Char"/>
    <w:qFormat/>
    <w:uiPriority w:val="0"/>
    <w:rPr>
      <w:rFonts w:ascii="宋体" w:eastAsia="宋体"/>
      <w:sz w:val="24"/>
      <w:lang w:val="en-US" w:eastAsia="zh-CN" w:bidi="ar-SA"/>
    </w:rPr>
  </w:style>
  <w:style w:type="character" w:customStyle="1" w:styleId="95">
    <w:name w:val="页脚 Char"/>
    <w:qFormat/>
    <w:uiPriority w:val="0"/>
    <w:rPr>
      <w:rFonts w:ascii="宋体" w:eastAsia="宋体"/>
      <w:sz w:val="18"/>
      <w:lang w:val="en-US" w:eastAsia="zh-CN" w:bidi="ar-SA"/>
    </w:rPr>
  </w:style>
  <w:style w:type="character" w:customStyle="1" w:styleId="96">
    <w:name w:val="c21"/>
    <w:qFormat/>
    <w:uiPriority w:val="0"/>
    <w:rPr>
      <w:rFonts w:hint="default" w:ascii="ˎ̥" w:hAnsi="ˎ̥"/>
      <w:color w:val="000000"/>
      <w:sz w:val="20"/>
      <w:szCs w:val="20"/>
      <w:u w:val="none"/>
    </w:rPr>
  </w:style>
  <w:style w:type="character" w:customStyle="1" w:styleId="97">
    <w:name w:val="标题 3 Char"/>
    <w:qFormat/>
    <w:uiPriority w:val="0"/>
    <w:rPr>
      <w:rFonts w:ascii="宋体" w:eastAsia="宋体"/>
      <w:b/>
      <w:sz w:val="24"/>
      <w:u w:val="single"/>
      <w:lang w:val="en-US" w:eastAsia="zh-CN" w:bidi="ar-SA"/>
    </w:rPr>
  </w:style>
  <w:style w:type="character" w:customStyle="1" w:styleId="98">
    <w:name w:val="正文大标题 Char"/>
    <w:link w:val="99"/>
    <w:qFormat/>
    <w:uiPriority w:val="0"/>
    <w:rPr>
      <w:rFonts w:ascii="宋体" w:hAnsi="宋体"/>
      <w:b/>
      <w:color w:val="000000"/>
      <w:kern w:val="2"/>
      <w:sz w:val="28"/>
      <w:szCs w:val="21"/>
    </w:rPr>
  </w:style>
  <w:style w:type="paragraph" w:customStyle="1" w:styleId="99">
    <w:name w:val="正文大标题"/>
    <w:basedOn w:val="100"/>
    <w:next w:val="4"/>
    <w:link w:val="98"/>
    <w:qFormat/>
    <w:uiPriority w:val="0"/>
    <w:pPr>
      <w:jc w:val="center"/>
    </w:pPr>
    <w:rPr>
      <w:i w:val="0"/>
      <w:color w:val="000000"/>
      <w:sz w:val="28"/>
      <w:szCs w:val="21"/>
    </w:rPr>
  </w:style>
  <w:style w:type="paragraph" w:customStyle="1" w:styleId="100">
    <w:name w:val="正文小标题"/>
    <w:basedOn w:val="1"/>
    <w:next w:val="4"/>
    <w:link w:val="10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1">
    <w:name w:val="正文小标题 Char"/>
    <w:link w:val="100"/>
    <w:qFormat/>
    <w:uiPriority w:val="0"/>
    <w:rPr>
      <w:rFonts w:ascii="宋体" w:hAnsi="宋体"/>
      <w:b/>
      <w:i/>
      <w:color w:val="FF0000"/>
      <w:kern w:val="2"/>
      <w:sz w:val="24"/>
    </w:rPr>
  </w:style>
  <w:style w:type="character" w:customStyle="1" w:styleId="102">
    <w:name w:val="正文格式 Char"/>
    <w:link w:val="103"/>
    <w:qFormat/>
    <w:locked/>
    <w:uiPriority w:val="0"/>
    <w:rPr>
      <w:rFonts w:ascii="宋体" w:hAnsi="宋体"/>
      <w:sz w:val="24"/>
      <w:szCs w:val="24"/>
      <w:lang w:val="en-GB"/>
    </w:rPr>
  </w:style>
  <w:style w:type="paragraph" w:customStyle="1" w:styleId="103">
    <w:name w:val="正文格式"/>
    <w:basedOn w:val="1"/>
    <w:link w:val="102"/>
    <w:qFormat/>
    <w:uiPriority w:val="0"/>
    <w:pPr>
      <w:spacing w:beforeLines="50" w:line="360" w:lineRule="auto"/>
      <w:ind w:firstLine="480" w:firstLineChars="200"/>
    </w:pPr>
    <w:rPr>
      <w:rFonts w:ascii="宋体" w:hAnsi="宋体"/>
      <w:kern w:val="0"/>
      <w:sz w:val="24"/>
      <w:lang w:val="en-GB"/>
    </w:rPr>
  </w:style>
  <w:style w:type="character" w:customStyle="1" w:styleId="104">
    <w:name w:val="中等深浅网格 1 - 强调文字颜色 2 Char"/>
    <w:link w:val="105"/>
    <w:qFormat/>
    <w:uiPriority w:val="0"/>
    <w:rPr>
      <w:kern w:val="2"/>
      <w:sz w:val="21"/>
      <w:szCs w:val="24"/>
      <w:lang w:val="zh-CN" w:eastAsia="zh-CN" w:bidi="ar-SA"/>
    </w:rPr>
  </w:style>
  <w:style w:type="paragraph" w:customStyle="1" w:styleId="105">
    <w:name w:val="1"/>
    <w:link w:val="104"/>
    <w:qFormat/>
    <w:uiPriority w:val="0"/>
    <w:rPr>
      <w:rFonts w:ascii="Times New Roman" w:hAnsi="Times New Roman" w:eastAsia="宋体" w:cs="Times New Roman"/>
      <w:kern w:val="2"/>
      <w:sz w:val="21"/>
      <w:szCs w:val="24"/>
      <w:lang w:val="zh-CN" w:eastAsia="zh-CN" w:bidi="ar-SA"/>
    </w:rPr>
  </w:style>
  <w:style w:type="character" w:customStyle="1" w:styleId="106">
    <w:name w:val="locality"/>
    <w:qFormat/>
    <w:uiPriority w:val="0"/>
  </w:style>
  <w:style w:type="character" w:customStyle="1" w:styleId="107">
    <w:name w:val="批注文字 Char"/>
    <w:qFormat/>
    <w:uiPriority w:val="99"/>
    <w:rPr>
      <w:kern w:val="2"/>
      <w:sz w:val="21"/>
      <w:szCs w:val="24"/>
    </w:rPr>
  </w:style>
  <w:style w:type="character" w:customStyle="1" w:styleId="108">
    <w:name w:val="正文表格 Char"/>
    <w:link w:val="109"/>
    <w:qFormat/>
    <w:uiPriority w:val="0"/>
    <w:rPr>
      <w:rFonts w:ascii="宋体" w:hAnsi="宋体"/>
      <w:color w:val="000000"/>
      <w:kern w:val="2"/>
      <w:sz w:val="21"/>
      <w:szCs w:val="21"/>
    </w:rPr>
  </w:style>
  <w:style w:type="paragraph" w:customStyle="1" w:styleId="109">
    <w:name w:val="正文表格"/>
    <w:basedOn w:val="1"/>
    <w:link w:val="108"/>
    <w:qFormat/>
    <w:uiPriority w:val="0"/>
    <w:pPr>
      <w:adjustRightInd w:val="0"/>
      <w:snapToGrid w:val="0"/>
      <w:jc w:val="left"/>
    </w:pPr>
    <w:rPr>
      <w:rFonts w:ascii="宋体" w:hAnsi="宋体"/>
      <w:color w:val="000000"/>
      <w:szCs w:val="21"/>
    </w:rPr>
  </w:style>
  <w:style w:type="character" w:customStyle="1" w:styleId="110">
    <w:name w:val="纯文本 字符1"/>
    <w:qFormat/>
    <w:uiPriority w:val="0"/>
    <w:rPr>
      <w:rFonts w:ascii="宋体" w:hAnsi="Courier New"/>
    </w:rPr>
  </w:style>
  <w:style w:type="character" w:customStyle="1" w:styleId="111">
    <w:name w:val="纯文本 Char1"/>
    <w:qFormat/>
    <w:uiPriority w:val="0"/>
    <w:rPr>
      <w:rFonts w:ascii="宋体" w:hAnsi="Courier New" w:eastAsia="宋体"/>
      <w:kern w:val="2"/>
      <w:sz w:val="21"/>
      <w:lang w:val="en-US" w:eastAsia="zh-CN" w:bidi="ar-SA"/>
    </w:rPr>
  </w:style>
  <w:style w:type="character" w:customStyle="1" w:styleId="112">
    <w:name w:val="street-address"/>
    <w:qFormat/>
    <w:uiPriority w:val="0"/>
  </w:style>
  <w:style w:type="character" w:customStyle="1" w:styleId="113">
    <w:name w:val="列出段落 字符"/>
    <w:link w:val="114"/>
    <w:qFormat/>
    <w:uiPriority w:val="34"/>
    <w:rPr>
      <w:rFonts w:ascii="Calibri" w:hAnsi="Calibri" w:eastAsia="宋体"/>
      <w:kern w:val="2"/>
      <w:sz w:val="21"/>
      <w:szCs w:val="22"/>
      <w:lang w:val="en-US" w:eastAsia="zh-CN" w:bidi="ar-SA"/>
    </w:rPr>
  </w:style>
  <w:style w:type="paragraph" w:styleId="114">
    <w:name w:val="List Paragraph"/>
    <w:basedOn w:val="1"/>
    <w:link w:val="113"/>
    <w:qFormat/>
    <w:uiPriority w:val="34"/>
    <w:pPr>
      <w:ind w:firstLine="420" w:firstLineChars="200"/>
    </w:pPr>
    <w:rPr>
      <w:rFonts w:ascii="Calibri" w:hAnsi="Calibri"/>
      <w:szCs w:val="22"/>
    </w:rPr>
  </w:style>
  <w:style w:type="character" w:customStyle="1" w:styleId="115">
    <w:name w:val="txt"/>
    <w:qFormat/>
    <w:uiPriority w:val="0"/>
  </w:style>
  <w:style w:type="character" w:customStyle="1" w:styleId="116">
    <w:name w:val="列出段落 Char"/>
    <w:qFormat/>
    <w:uiPriority w:val="0"/>
    <w:rPr>
      <w:rFonts w:ascii="Calibri" w:hAnsi="Calibri" w:eastAsia="宋体"/>
      <w:kern w:val="2"/>
      <w:sz w:val="21"/>
      <w:szCs w:val="22"/>
      <w:lang w:val="en-US" w:eastAsia="zh-CN" w:bidi="ar-SA"/>
    </w:rPr>
  </w:style>
  <w:style w:type="character" w:customStyle="1" w:styleId="117">
    <w:name w:val="black1"/>
    <w:qFormat/>
    <w:uiPriority w:val="0"/>
    <w:rPr>
      <w:color w:val="000000"/>
    </w:rPr>
  </w:style>
  <w:style w:type="character" w:customStyle="1" w:styleId="118">
    <w:name w:val="正文文本缩进 Char"/>
    <w:qFormat/>
    <w:uiPriority w:val="0"/>
    <w:rPr>
      <w:rFonts w:eastAsia="宋体"/>
      <w:kern w:val="2"/>
      <w:sz w:val="24"/>
      <w:szCs w:val="24"/>
      <w:lang w:val="en-US" w:eastAsia="zh-CN" w:bidi="ar-SA"/>
    </w:rPr>
  </w:style>
  <w:style w:type="character" w:customStyle="1" w:styleId="119">
    <w:name w:val="正文缩进 Char Char"/>
    <w:link w:val="120"/>
    <w:qFormat/>
    <w:uiPriority w:val="0"/>
    <w:rPr>
      <w:rFonts w:ascii="宋体" w:eastAsia="宋体"/>
      <w:snapToGrid w:val="0"/>
      <w:color w:val="000000"/>
      <w:kern w:val="28"/>
      <w:sz w:val="28"/>
      <w:lang w:bidi="ar-SA"/>
    </w:rPr>
  </w:style>
  <w:style w:type="paragraph" w:customStyle="1" w:styleId="120">
    <w:name w:val="正文缩进1"/>
    <w:basedOn w:val="1"/>
    <w:link w:val="11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1">
    <w:name w:val="标题 2 Char Char"/>
    <w:qFormat/>
    <w:uiPriority w:val="0"/>
    <w:rPr>
      <w:rFonts w:ascii="Arial" w:hAnsi="Arial" w:eastAsia="黑体"/>
      <w:b/>
      <w:bCs/>
      <w:kern w:val="2"/>
      <w:sz w:val="32"/>
      <w:szCs w:val="32"/>
      <w:lang w:val="en-US" w:eastAsia="zh-CN" w:bidi="ar-SA"/>
    </w:rPr>
  </w:style>
  <w:style w:type="character" w:customStyle="1" w:styleId="122">
    <w:name w:val="正文缩进 Char"/>
    <w:qFormat/>
    <w:uiPriority w:val="0"/>
    <w:rPr>
      <w:rFonts w:ascii="宋体" w:eastAsia="宋体"/>
      <w:kern w:val="2"/>
      <w:sz w:val="24"/>
      <w:szCs w:val="24"/>
      <w:lang w:val="en-US" w:eastAsia="zh-CN" w:bidi="ar-SA"/>
    </w:rPr>
  </w:style>
  <w:style w:type="character" w:customStyle="1" w:styleId="123">
    <w:name w:val="普通文字1 Char1"/>
    <w:qFormat/>
    <w:uiPriority w:val="0"/>
    <w:rPr>
      <w:rFonts w:ascii="宋体" w:hAnsi="Courier New" w:eastAsia="宋体"/>
      <w:kern w:val="2"/>
      <w:sz w:val="21"/>
      <w:lang w:val="en-US" w:eastAsia="zh-CN" w:bidi="ar-SA"/>
    </w:rPr>
  </w:style>
  <w:style w:type="character" w:customStyle="1" w:styleId="124">
    <w:name w:val="页眉 Char"/>
    <w:qFormat/>
    <w:uiPriority w:val="0"/>
    <w:rPr>
      <w:rFonts w:eastAsia="宋体"/>
      <w:kern w:val="2"/>
      <w:sz w:val="18"/>
      <w:szCs w:val="18"/>
      <w:lang w:val="en-US" w:eastAsia="zh-CN" w:bidi="ar-SA"/>
    </w:rPr>
  </w:style>
  <w:style w:type="character" w:customStyle="1" w:styleId="125">
    <w:name w:val="注释 Char"/>
    <w:link w:val="126"/>
    <w:qFormat/>
    <w:uiPriority w:val="0"/>
    <w:rPr>
      <w:rFonts w:ascii="宋体" w:hAnsi="宋体"/>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成文日期 Char"/>
    <w:link w:val="128"/>
    <w:qFormat/>
    <w:uiPriority w:val="0"/>
    <w:rPr>
      <w:rFonts w:ascii="仿宋_GB2312" w:eastAsia="仿宋_GB2312"/>
      <w:kern w:val="2"/>
      <w:sz w:val="32"/>
    </w:rPr>
  </w:style>
  <w:style w:type="paragraph" w:customStyle="1" w:styleId="128">
    <w:name w:val="成文日期"/>
    <w:basedOn w:val="1"/>
    <w:link w:val="127"/>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9">
    <w:name w:val="apple-style-span"/>
    <w:qFormat/>
    <w:uiPriority w:val="0"/>
    <w:rPr>
      <w:rFonts w:cs="Times New Roman"/>
    </w:rPr>
  </w:style>
  <w:style w:type="character" w:customStyle="1" w:styleId="130">
    <w:name w:val="title4"/>
    <w:qFormat/>
    <w:uiPriority w:val="0"/>
    <w:rPr>
      <w:b/>
      <w:bCs/>
      <w:color w:val="1D87B3"/>
      <w:sz w:val="15"/>
      <w:szCs w:val="15"/>
    </w:rPr>
  </w:style>
  <w:style w:type="character" w:customStyle="1" w:styleId="131">
    <w:name w:val="标题 2 Char"/>
    <w:qFormat/>
    <w:uiPriority w:val="0"/>
    <w:rPr>
      <w:rFonts w:ascii="Arial" w:hAnsi="Arial" w:eastAsia="黑体"/>
      <w:b/>
      <w:sz w:val="30"/>
      <w:lang w:val="en-US" w:eastAsia="zh-CN" w:bidi="ar-SA"/>
    </w:rPr>
  </w:style>
  <w:style w:type="character" w:customStyle="1" w:styleId="132">
    <w:name w:val="标题 3 Char Char"/>
    <w:qFormat/>
    <w:uiPriority w:val="0"/>
    <w:rPr>
      <w:rFonts w:eastAsia="宋体"/>
      <w:b/>
      <w:bCs/>
      <w:kern w:val="2"/>
      <w:sz w:val="32"/>
      <w:szCs w:val="32"/>
      <w:lang w:val="en-US" w:eastAsia="zh-CN" w:bidi="ar-SA"/>
    </w:rPr>
  </w:style>
  <w:style w:type="character" w:customStyle="1" w:styleId="133">
    <w:name w:val="正文文本缩进 Char1"/>
    <w:link w:val="134"/>
    <w:qFormat/>
    <w:uiPriority w:val="0"/>
    <w:rPr>
      <w:rFonts w:ascii="宋体" w:hAnsi="宋体" w:eastAsia="宋体"/>
      <w:sz w:val="24"/>
      <w:szCs w:val="24"/>
      <w:lang w:bidi="ar-SA"/>
    </w:rPr>
  </w:style>
  <w:style w:type="paragraph" w:customStyle="1" w:styleId="134">
    <w:name w:val="正文文本缩进1"/>
    <w:basedOn w:val="1"/>
    <w:link w:val="133"/>
    <w:qFormat/>
    <w:uiPriority w:val="0"/>
    <w:pPr>
      <w:spacing w:line="480" w:lineRule="exact"/>
      <w:ind w:firstLine="480" w:firstLineChars="200"/>
    </w:pPr>
    <w:rPr>
      <w:rFonts w:ascii="宋体" w:hAnsi="宋体"/>
      <w:kern w:val="0"/>
      <w:sz w:val="24"/>
    </w:rPr>
  </w:style>
  <w:style w:type="character" w:customStyle="1" w:styleId="135">
    <w:name w:val="chanpin拷贝"/>
    <w:qFormat/>
    <w:uiPriority w:val="0"/>
  </w:style>
  <w:style w:type="paragraph" w:customStyle="1" w:styleId="136">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7">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1">
    <w:name w:val="修订1"/>
    <w:qFormat/>
    <w:uiPriority w:val="0"/>
    <w:rPr>
      <w:rFonts w:ascii="Times New Roman" w:hAnsi="Times New Roman" w:eastAsia="宋体" w:cs="Times New Roman"/>
      <w:kern w:val="2"/>
      <w:sz w:val="21"/>
      <w:szCs w:val="24"/>
      <w:lang w:val="en-US" w:eastAsia="zh-CN" w:bidi="ar-SA"/>
    </w:rPr>
  </w:style>
  <w:style w:type="paragraph" w:customStyle="1" w:styleId="142">
    <w:name w:val="二级条标题"/>
    <w:basedOn w:val="14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3">
    <w:name w:val="一级条标题"/>
    <w:basedOn w:val="144"/>
    <w:next w:val="1"/>
    <w:qFormat/>
    <w:uiPriority w:val="0"/>
    <w:pPr>
      <w:numPr>
        <w:ilvl w:val="1"/>
      </w:numPr>
      <w:tabs>
        <w:tab w:val="left" w:pos="360"/>
        <w:tab w:val="left" w:pos="840"/>
      </w:tabs>
      <w:ind w:left="0" w:hanging="840"/>
      <w:outlineLvl w:val="1"/>
    </w:pPr>
  </w:style>
  <w:style w:type="paragraph" w:customStyle="1" w:styleId="144">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6">
    <w:name w:val="Char Char Char1 Char"/>
    <w:basedOn w:val="1"/>
    <w:qFormat/>
    <w:uiPriority w:val="0"/>
    <w:rPr>
      <w:rFonts w:ascii="Tahoma" w:hAnsi="Tahoma"/>
      <w:sz w:val="24"/>
      <w:szCs w:val="20"/>
    </w:rPr>
  </w:style>
  <w:style w:type="paragraph" w:customStyle="1" w:styleId="14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9">
    <w:name w:val="Char2 Char Char Char Char Char Char"/>
    <w:basedOn w:val="1"/>
    <w:qFormat/>
    <w:uiPriority w:val="0"/>
    <w:pPr>
      <w:widowControl/>
      <w:spacing w:line="400" w:lineRule="exact"/>
      <w:jc w:val="center"/>
    </w:pPr>
  </w:style>
  <w:style w:type="paragraph" w:customStyle="1" w:styleId="15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1 Char Char Char Char"/>
    <w:basedOn w:val="1"/>
    <w:qFormat/>
    <w:uiPriority w:val="0"/>
    <w:rPr>
      <w:rFonts w:ascii="Tahoma" w:hAnsi="Tahoma"/>
      <w:sz w:val="24"/>
      <w:szCs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字元 字元"/>
    <w:basedOn w:val="1"/>
    <w:qFormat/>
    <w:uiPriority w:val="0"/>
    <w:rPr>
      <w:rFonts w:ascii="Tahoma" w:hAnsi="Tahoma"/>
      <w:sz w:val="24"/>
      <w:szCs w:val="20"/>
    </w:rPr>
  </w:style>
  <w:style w:type="paragraph" w:customStyle="1" w:styleId="15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字元 字元1"/>
    <w:basedOn w:val="1"/>
    <w:qFormat/>
    <w:uiPriority w:val="0"/>
    <w:rPr>
      <w:rFonts w:ascii="Tahoma" w:hAnsi="Tahoma"/>
      <w:sz w:val="24"/>
      <w:szCs w:val="20"/>
    </w:rPr>
  </w:style>
  <w:style w:type="paragraph" w:customStyle="1" w:styleId="15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9">
    <w:name w:val="font8"/>
    <w:basedOn w:val="1"/>
    <w:qFormat/>
    <w:uiPriority w:val="0"/>
    <w:pPr>
      <w:widowControl/>
      <w:spacing w:before="100" w:beforeAutospacing="1" w:after="100" w:afterAutospacing="1"/>
      <w:jc w:val="left"/>
    </w:pPr>
    <w:rPr>
      <w:kern w:val="0"/>
      <w:sz w:val="36"/>
      <w:szCs w:val="36"/>
    </w:rPr>
  </w:style>
  <w:style w:type="paragraph" w:customStyle="1" w:styleId="160">
    <w:name w:val="Char Char41"/>
    <w:basedOn w:val="1"/>
    <w:qFormat/>
    <w:uiPriority w:val="0"/>
    <w:pPr>
      <w:widowControl/>
      <w:spacing w:line="400" w:lineRule="exact"/>
      <w:jc w:val="center"/>
    </w:pPr>
  </w:style>
  <w:style w:type="paragraph" w:customStyle="1" w:styleId="161">
    <w:name w:val="Char2"/>
    <w:basedOn w:val="1"/>
    <w:qFormat/>
    <w:uiPriority w:val="0"/>
    <w:rPr>
      <w:rFonts w:ascii="Tahoma" w:hAnsi="Tahoma"/>
      <w:sz w:val="24"/>
      <w:szCs w:val="20"/>
    </w:rPr>
  </w:style>
  <w:style w:type="paragraph" w:customStyle="1" w:styleId="162">
    <w:name w:val="正文文本样式 加粗"/>
    <w:basedOn w:val="163"/>
    <w:qFormat/>
    <w:uiPriority w:val="0"/>
    <w:rPr>
      <w:b/>
    </w:rPr>
  </w:style>
  <w:style w:type="paragraph" w:customStyle="1" w:styleId="163">
    <w:name w:val="正文文本样式"/>
    <w:basedOn w:val="1"/>
    <w:qFormat/>
    <w:uiPriority w:val="0"/>
    <w:pPr>
      <w:spacing w:line="360" w:lineRule="auto"/>
      <w:ind w:firstLine="482"/>
    </w:pPr>
    <w:rPr>
      <w:rFonts w:cs="宋体"/>
      <w:sz w:val="24"/>
      <w:szCs w:val="20"/>
    </w:rPr>
  </w:style>
  <w:style w:type="paragraph" w:customStyle="1" w:styleId="164">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6">
    <w:name w:val="_Style 15"/>
    <w:basedOn w:val="1"/>
    <w:next w:val="1"/>
    <w:qFormat/>
    <w:uiPriority w:val="0"/>
    <w:pPr>
      <w:spacing w:after="120"/>
      <w:ind w:left="420" w:leftChars="200" w:firstLine="420" w:firstLineChars="200"/>
    </w:pPr>
    <w:rPr>
      <w:szCs w:val="22"/>
    </w:rPr>
  </w:style>
  <w:style w:type="paragraph" w:customStyle="1" w:styleId="1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8">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9">
    <w:name w:val="标题1-附件"/>
    <w:basedOn w:val="2"/>
    <w:qFormat/>
    <w:uiPriority w:val="0"/>
    <w:pPr>
      <w:jc w:val="left"/>
    </w:pPr>
    <w:rPr>
      <w:sz w:val="24"/>
      <w:szCs w:val="24"/>
    </w:rPr>
  </w:style>
  <w:style w:type="paragraph" w:customStyle="1" w:styleId="170">
    <w:name w:val="Char3"/>
    <w:basedOn w:val="1"/>
    <w:qFormat/>
    <w:uiPriority w:val="0"/>
    <w:pPr>
      <w:tabs>
        <w:tab w:val="left" w:pos="360"/>
      </w:tabs>
    </w:pPr>
    <w:rPr>
      <w:sz w:val="24"/>
    </w:rPr>
  </w:style>
  <w:style w:type="paragraph" w:customStyle="1" w:styleId="17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5">
    <w:name w:val="Char Char Char1 Char2"/>
    <w:basedOn w:val="1"/>
    <w:qFormat/>
    <w:uiPriority w:val="0"/>
    <w:rPr>
      <w:rFonts w:ascii="Tahoma" w:hAnsi="Tahoma"/>
      <w:sz w:val="24"/>
      <w:szCs w:val="20"/>
    </w:rPr>
  </w:style>
  <w:style w:type="paragraph" w:customStyle="1" w:styleId="176">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7">
    <w:name w:val="1名"/>
    <w:basedOn w:val="1"/>
    <w:qFormat/>
    <w:uiPriority w:val="0"/>
    <w:pPr>
      <w:numPr>
        <w:ilvl w:val="0"/>
        <w:numId w:val="5"/>
      </w:numPr>
      <w:spacing w:before="120"/>
    </w:pPr>
    <w:rPr>
      <w:rFonts w:ascii="宋体"/>
      <w:sz w:val="28"/>
      <w:szCs w:val="20"/>
    </w:rPr>
  </w:style>
  <w:style w:type="paragraph" w:customStyle="1" w:styleId="17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9">
    <w:name w:val="表格1"/>
    <w:basedOn w:val="1"/>
    <w:qFormat/>
    <w:uiPriority w:val="0"/>
    <w:pPr>
      <w:ind w:firstLine="480" w:firstLineChars="200"/>
      <w:jc w:val="center"/>
    </w:pPr>
    <w:rPr>
      <w:sz w:val="24"/>
      <w:szCs w:val="20"/>
    </w:rPr>
  </w:style>
  <w:style w:type="paragraph" w:customStyle="1" w:styleId="180">
    <w:name w:val="字元 字元2"/>
    <w:basedOn w:val="1"/>
    <w:qFormat/>
    <w:uiPriority w:val="0"/>
    <w:rPr>
      <w:rFonts w:ascii="Tahoma" w:hAnsi="Tahoma"/>
      <w:sz w:val="24"/>
      <w:szCs w:val="20"/>
    </w:rPr>
  </w:style>
  <w:style w:type="paragraph" w:customStyle="1" w:styleId="181">
    <w:name w:val="文档正文"/>
    <w:basedOn w:val="1"/>
    <w:qFormat/>
    <w:uiPriority w:val="0"/>
    <w:pPr>
      <w:snapToGrid w:val="0"/>
      <w:spacing w:before="120" w:after="120" w:line="180" w:lineRule="auto"/>
    </w:pPr>
    <w:rPr>
      <w:rFonts w:ascii="Arial" w:hAnsi="Arial"/>
      <w:szCs w:val="20"/>
    </w:rPr>
  </w:style>
  <w:style w:type="paragraph" w:customStyle="1" w:styleId="18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5">
    <w:name w:val="Char1 Char Char Char1"/>
    <w:basedOn w:val="1"/>
    <w:qFormat/>
    <w:uiPriority w:val="0"/>
    <w:rPr>
      <w:rFonts w:ascii="Tahoma" w:hAnsi="Tahoma" w:cs="仿宋_GB2312"/>
      <w:sz w:val="24"/>
      <w:szCs w:val="28"/>
    </w:rPr>
  </w:style>
  <w:style w:type="paragraph" w:customStyle="1" w:styleId="186">
    <w:name w:val="图例"/>
    <w:basedOn w:val="1"/>
    <w:qFormat/>
    <w:uiPriority w:val="0"/>
    <w:pPr>
      <w:spacing w:before="120" w:after="120" w:line="360" w:lineRule="auto"/>
      <w:jc w:val="center"/>
    </w:pPr>
    <w:rPr>
      <w:rFonts w:eastAsia="仿宋_GB2312"/>
      <w:b/>
      <w:sz w:val="24"/>
      <w:szCs w:val="20"/>
    </w:rPr>
  </w:style>
  <w:style w:type="paragraph" w:customStyle="1" w:styleId="187">
    <w:name w:val="Char Char1"/>
    <w:basedOn w:val="15"/>
    <w:qFormat/>
    <w:uiPriority w:val="0"/>
    <w:rPr>
      <w:rFonts w:ascii="Tahoma" w:hAnsi="Tahoma"/>
      <w:sz w:val="24"/>
    </w:rPr>
  </w:style>
  <w:style w:type="paragraph" w:customStyle="1" w:styleId="18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90">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1">
    <w:name w:val="默认段落字体 Para Char Char Char Char"/>
    <w:basedOn w:val="1"/>
    <w:qFormat/>
    <w:uiPriority w:val="0"/>
    <w:rPr>
      <w:rFonts w:ascii="Arial" w:hAnsi="Arial" w:cs="Arial"/>
      <w:szCs w:val="21"/>
    </w:rPr>
  </w:style>
  <w:style w:type="paragraph" w:customStyle="1" w:styleId="19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6">
    <w:name w:val="Char Char4"/>
    <w:basedOn w:val="1"/>
    <w:qFormat/>
    <w:uiPriority w:val="0"/>
    <w:pPr>
      <w:widowControl/>
      <w:spacing w:line="400" w:lineRule="exact"/>
      <w:jc w:val="center"/>
    </w:pPr>
  </w:style>
  <w:style w:type="paragraph" w:customStyle="1" w:styleId="19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9">
    <w:name w:val="Char Char Char"/>
    <w:basedOn w:val="1"/>
    <w:qFormat/>
    <w:uiPriority w:val="0"/>
    <w:rPr>
      <w:rFonts w:ascii="Tahoma" w:hAnsi="Tahoma"/>
      <w:sz w:val="24"/>
      <w:szCs w:val="20"/>
    </w:rPr>
  </w:style>
  <w:style w:type="paragraph" w:customStyle="1" w:styleId="200">
    <w:name w:val="项目编号2"/>
    <w:basedOn w:val="164"/>
    <w:qFormat/>
    <w:uiPriority w:val="0"/>
    <w:pPr>
      <w:numPr>
        <w:numId w:val="6"/>
      </w:numPr>
    </w:pPr>
  </w:style>
  <w:style w:type="paragraph" w:customStyle="1" w:styleId="201">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4">
    <w:name w:val="Char Char Char2"/>
    <w:basedOn w:val="1"/>
    <w:qFormat/>
    <w:uiPriority w:val="0"/>
    <w:rPr>
      <w:rFonts w:ascii="Tahoma" w:hAnsi="Tahoma"/>
      <w:sz w:val="24"/>
      <w:szCs w:val="20"/>
    </w:rPr>
  </w:style>
  <w:style w:type="paragraph" w:customStyle="1" w:styleId="205">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7">
    <w:name w:val="列出段落2"/>
    <w:basedOn w:val="1"/>
    <w:qFormat/>
    <w:uiPriority w:val="0"/>
    <w:pPr>
      <w:ind w:firstLine="420" w:firstLineChars="200"/>
    </w:pPr>
    <w:rPr>
      <w:rFonts w:ascii="Calibri" w:hAnsi="Calibri"/>
      <w:szCs w:val="22"/>
    </w:rPr>
  </w:style>
  <w:style w:type="paragraph" w:customStyle="1" w:styleId="20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9">
    <w:name w:val="图中文字"/>
    <w:basedOn w:val="1"/>
    <w:qFormat/>
    <w:uiPriority w:val="0"/>
    <w:pPr>
      <w:adjustRightInd w:val="0"/>
      <w:snapToGrid w:val="0"/>
      <w:spacing w:line="0" w:lineRule="atLeast"/>
      <w:jc w:val="center"/>
    </w:pPr>
    <w:rPr>
      <w:sz w:val="24"/>
      <w:szCs w:val="20"/>
    </w:rPr>
  </w:style>
  <w:style w:type="paragraph" w:customStyle="1" w:styleId="21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1">
    <w:name w:val="正文 + 楷体_GB2312"/>
    <w:basedOn w:val="1"/>
    <w:qFormat/>
    <w:uiPriority w:val="0"/>
    <w:pPr>
      <w:widowControl/>
      <w:jc w:val="left"/>
    </w:pPr>
    <w:rPr>
      <w:rFonts w:ascii="楷体_GB2312" w:eastAsia="楷体_GB2312" w:cs="Arial"/>
      <w:kern w:val="0"/>
      <w:sz w:val="24"/>
    </w:rPr>
  </w:style>
  <w:style w:type="paragraph" w:customStyle="1" w:styleId="212">
    <w:name w:val="缺省文本"/>
    <w:basedOn w:val="1"/>
    <w:qFormat/>
    <w:uiPriority w:val="0"/>
    <w:pPr>
      <w:autoSpaceDE w:val="0"/>
      <w:autoSpaceDN w:val="0"/>
      <w:adjustRightInd w:val="0"/>
      <w:jc w:val="left"/>
    </w:pPr>
    <w:rPr>
      <w:kern w:val="0"/>
      <w:sz w:val="24"/>
    </w:rPr>
  </w:style>
  <w:style w:type="paragraph" w:customStyle="1" w:styleId="213">
    <w:name w:val="样式2"/>
    <w:basedOn w:val="42"/>
    <w:qFormat/>
    <w:uiPriority w:val="0"/>
    <w:pPr>
      <w:spacing w:line="360" w:lineRule="auto"/>
      <w:jc w:val="center"/>
    </w:pPr>
    <w:rPr>
      <w:sz w:val="24"/>
    </w:rPr>
  </w:style>
  <w:style w:type="paragraph" w:customStyle="1" w:styleId="214">
    <w:name w:val="_Style 11"/>
    <w:basedOn w:val="1"/>
    <w:next w:val="1"/>
    <w:qFormat/>
    <w:uiPriority w:val="0"/>
    <w:pPr>
      <w:spacing w:after="120"/>
      <w:ind w:left="420" w:leftChars="200" w:firstLine="420" w:firstLineChars="200"/>
    </w:pPr>
  </w:style>
  <w:style w:type="paragraph" w:customStyle="1" w:styleId="215">
    <w:name w:val="图文"/>
    <w:basedOn w:val="1"/>
    <w:qFormat/>
    <w:uiPriority w:val="0"/>
    <w:pPr>
      <w:adjustRightInd w:val="0"/>
      <w:snapToGrid w:val="0"/>
      <w:spacing w:after="50" w:line="360" w:lineRule="auto"/>
    </w:pPr>
    <w:rPr>
      <w:sz w:val="24"/>
    </w:rPr>
  </w:style>
  <w:style w:type="paragraph" w:customStyle="1" w:styleId="216">
    <w:name w:val="Char2 Char Char Char Char Char Char1"/>
    <w:basedOn w:val="1"/>
    <w:qFormat/>
    <w:uiPriority w:val="0"/>
    <w:pPr>
      <w:widowControl/>
      <w:spacing w:line="400" w:lineRule="exact"/>
      <w:jc w:val="center"/>
    </w:pPr>
  </w:style>
  <w:style w:type="paragraph" w:customStyle="1" w:styleId="217">
    <w:name w:val="Char Char Char Char Char Char Char Char Char Char1"/>
    <w:basedOn w:val="1"/>
    <w:qFormat/>
    <w:uiPriority w:val="0"/>
    <w:rPr>
      <w:rFonts w:ascii="宋体" w:hAnsi="宋体" w:cs="Courier New"/>
      <w:sz w:val="32"/>
      <w:szCs w:val="32"/>
    </w:rPr>
  </w:style>
  <w:style w:type="paragraph" w:customStyle="1" w:styleId="218">
    <w:name w:val="Char3 Char Char Char2"/>
    <w:basedOn w:val="1"/>
    <w:qFormat/>
    <w:uiPriority w:val="0"/>
    <w:rPr>
      <w:rFonts w:ascii="Tahoma" w:hAnsi="Tahoma"/>
      <w:sz w:val="24"/>
      <w:szCs w:val="20"/>
    </w:rPr>
  </w:style>
  <w:style w:type="paragraph" w:customStyle="1" w:styleId="219">
    <w:name w:val="Char1"/>
    <w:basedOn w:val="1"/>
    <w:qFormat/>
    <w:uiPriority w:val="0"/>
    <w:pPr>
      <w:tabs>
        <w:tab w:val="left" w:pos="360"/>
      </w:tabs>
    </w:pPr>
    <w:rPr>
      <w:sz w:val="24"/>
    </w:rPr>
  </w:style>
  <w:style w:type="paragraph" w:customStyle="1" w:styleId="220">
    <w:name w:val="Char Char Char1"/>
    <w:basedOn w:val="1"/>
    <w:qFormat/>
    <w:uiPriority w:val="0"/>
    <w:rPr>
      <w:rFonts w:ascii="Tahoma" w:hAnsi="Tahoma"/>
      <w:sz w:val="24"/>
      <w:szCs w:val="20"/>
    </w:rPr>
  </w:style>
  <w:style w:type="paragraph" w:customStyle="1" w:styleId="22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2">
    <w:name w:val="_Style 160"/>
    <w:qFormat/>
    <w:uiPriority w:val="0"/>
    <w:rPr>
      <w:rFonts w:ascii="Times New Roman" w:hAnsi="Times New Roman" w:eastAsia="宋体" w:cs="Times New Roman"/>
      <w:kern w:val="2"/>
      <w:sz w:val="21"/>
      <w:szCs w:val="24"/>
      <w:lang w:val="en-US" w:eastAsia="zh-CN" w:bidi="ar-SA"/>
    </w:rPr>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4">
    <w:name w:val="Char Char Char Char Char Char Char Char Char Char"/>
    <w:basedOn w:val="1"/>
    <w:qFormat/>
    <w:uiPriority w:val="0"/>
  </w:style>
  <w:style w:type="paragraph" w:customStyle="1" w:styleId="225">
    <w:name w:val="列出段落1"/>
    <w:basedOn w:val="1"/>
    <w:qFormat/>
    <w:uiPriority w:val="0"/>
    <w:pPr>
      <w:ind w:firstLine="420" w:firstLineChars="200"/>
    </w:pPr>
    <w:rPr>
      <w:rFonts w:ascii="Calibri" w:hAnsi="Calibri"/>
      <w:szCs w:val="22"/>
    </w:rPr>
  </w:style>
  <w:style w:type="paragraph" w:customStyle="1" w:styleId="22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1">
    <w:name w:val="三级条标题"/>
    <w:basedOn w:val="142"/>
    <w:next w:val="1"/>
    <w:qFormat/>
    <w:uiPriority w:val="0"/>
    <w:pPr>
      <w:numPr>
        <w:ilvl w:val="3"/>
        <w:numId w:val="3"/>
      </w:numPr>
      <w:ind w:left="0" w:hanging="840"/>
      <w:outlineLvl w:val="3"/>
    </w:pPr>
  </w:style>
  <w:style w:type="paragraph" w:customStyle="1" w:styleId="23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4">
    <w:name w:val="项目编号3"/>
    <w:basedOn w:val="163"/>
    <w:qFormat/>
    <w:uiPriority w:val="0"/>
    <w:pPr>
      <w:numPr>
        <w:ilvl w:val="0"/>
        <w:numId w:val="7"/>
      </w:numPr>
    </w:pPr>
  </w:style>
  <w:style w:type="paragraph" w:customStyle="1" w:styleId="23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8">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9">
    <w:name w:val="Char3 Char Char Char"/>
    <w:basedOn w:val="1"/>
    <w:qFormat/>
    <w:uiPriority w:val="0"/>
    <w:rPr>
      <w:rFonts w:ascii="Tahoma" w:hAnsi="Tahoma"/>
      <w:sz w:val="24"/>
      <w:szCs w:val="20"/>
    </w:rPr>
  </w:style>
  <w:style w:type="paragraph" w:customStyle="1" w:styleId="240">
    <w:name w:val="Char21"/>
    <w:basedOn w:val="1"/>
    <w:qFormat/>
    <w:uiPriority w:val="0"/>
    <w:rPr>
      <w:rFonts w:ascii="Tahoma" w:hAnsi="Tahoma"/>
      <w:sz w:val="24"/>
      <w:szCs w:val="20"/>
    </w:rPr>
  </w:style>
  <w:style w:type="paragraph" w:customStyle="1" w:styleId="241">
    <w:name w:val="List Paragraph1"/>
    <w:basedOn w:val="1"/>
    <w:qFormat/>
    <w:uiPriority w:val="0"/>
    <w:pPr>
      <w:ind w:firstLine="420" w:firstLineChars="200"/>
    </w:pPr>
    <w:rPr>
      <w:rFonts w:ascii="Calibri" w:hAnsi="Calibri"/>
      <w:szCs w:val="22"/>
    </w:rPr>
  </w:style>
  <w:style w:type="paragraph" w:customStyle="1" w:styleId="242">
    <w:name w:val="四级条标题"/>
    <w:basedOn w:val="231"/>
    <w:next w:val="1"/>
    <w:qFormat/>
    <w:uiPriority w:val="0"/>
    <w:pPr>
      <w:numPr>
        <w:ilvl w:val="4"/>
      </w:numPr>
      <w:ind w:left="0" w:hanging="840"/>
      <w:outlineLvl w:val="4"/>
    </w:pPr>
  </w:style>
  <w:style w:type="paragraph" w:styleId="24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6">
    <w:name w:val="Char Char Char1 Char1"/>
    <w:basedOn w:val="1"/>
    <w:qFormat/>
    <w:uiPriority w:val="0"/>
    <w:rPr>
      <w:rFonts w:ascii="Tahoma" w:hAnsi="Tahoma"/>
      <w:sz w:val="24"/>
      <w:szCs w:val="20"/>
    </w:rPr>
  </w:style>
  <w:style w:type="paragraph" w:customStyle="1" w:styleId="24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8">
    <w:name w:val="项目符号1"/>
    <w:basedOn w:val="163"/>
    <w:qFormat/>
    <w:uiPriority w:val="0"/>
    <w:pPr>
      <w:ind w:left="-25" w:firstLine="0"/>
    </w:pPr>
  </w:style>
  <w:style w:type="paragraph" w:customStyle="1" w:styleId="24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5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2">
    <w:name w:val="Char22"/>
    <w:basedOn w:val="1"/>
    <w:qFormat/>
    <w:uiPriority w:val="0"/>
    <w:rPr>
      <w:rFonts w:ascii="Tahoma" w:hAnsi="Tahoma"/>
      <w:sz w:val="24"/>
      <w:szCs w:val="20"/>
    </w:rPr>
  </w:style>
  <w:style w:type="paragraph" w:customStyle="1" w:styleId="253">
    <w:name w:val="Char3 Char Char Char1"/>
    <w:basedOn w:val="1"/>
    <w:qFormat/>
    <w:uiPriority w:val="0"/>
    <w:rPr>
      <w:rFonts w:ascii="Tahoma" w:hAnsi="Tahoma"/>
      <w:sz w:val="24"/>
      <w:szCs w:val="20"/>
    </w:rPr>
  </w:style>
  <w:style w:type="paragraph" w:customStyle="1" w:styleId="254">
    <w:name w:val="五级条标题"/>
    <w:basedOn w:val="242"/>
    <w:next w:val="1"/>
    <w:qFormat/>
    <w:uiPriority w:val="0"/>
    <w:pPr>
      <w:numPr>
        <w:ilvl w:val="5"/>
      </w:numPr>
      <w:ind w:left="0" w:hanging="840"/>
      <w:outlineLvl w:val="5"/>
    </w:pPr>
  </w:style>
  <w:style w:type="paragraph" w:customStyle="1" w:styleId="255">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8">
    <w:name w:val="一级无"/>
    <w:basedOn w:val="1"/>
    <w:qFormat/>
    <w:uiPriority w:val="0"/>
    <w:pPr>
      <w:widowControl/>
      <w:jc w:val="left"/>
      <w:outlineLvl w:val="2"/>
    </w:pPr>
    <w:rPr>
      <w:rFonts w:ascii="宋体"/>
      <w:kern w:val="0"/>
      <w:szCs w:val="21"/>
    </w:rPr>
  </w:style>
  <w:style w:type="paragraph" w:customStyle="1" w:styleId="259">
    <w:name w:val="Char"/>
    <w:basedOn w:val="1"/>
    <w:qFormat/>
    <w:uiPriority w:val="0"/>
    <w:pPr>
      <w:tabs>
        <w:tab w:val="left" w:pos="360"/>
      </w:tabs>
    </w:pPr>
    <w:rPr>
      <w:sz w:val="24"/>
    </w:rPr>
  </w:style>
  <w:style w:type="paragraph" w:customStyle="1" w:styleId="26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1">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2">
    <w:name w:val="NormalCharacter"/>
    <w:qFormat/>
    <w:uiPriority w:val="0"/>
    <w:rPr>
      <w:rFonts w:ascii="Calibri" w:hAnsi="Calibri" w:eastAsia="宋体" w:cs="Times New Roman"/>
      <w:kern w:val="2"/>
      <w:sz w:val="21"/>
      <w:szCs w:val="22"/>
      <w:lang w:val="en-US" w:eastAsia="zh-CN" w:bidi="ar-SA"/>
    </w:rPr>
  </w:style>
  <w:style w:type="character" w:customStyle="1" w:styleId="263">
    <w:name w:val="font11"/>
    <w:qFormat/>
    <w:uiPriority w:val="0"/>
    <w:rPr>
      <w:rFonts w:hint="eastAsia" w:ascii="仿宋_GB2312" w:eastAsia="仿宋_GB2312" w:cs="仿宋_GB2312"/>
      <w:color w:val="000000"/>
      <w:sz w:val="24"/>
      <w:szCs w:val="24"/>
      <w:u w:val="none"/>
    </w:rPr>
  </w:style>
  <w:style w:type="paragraph" w:customStyle="1" w:styleId="264">
    <w:name w:val="表"/>
    <w:basedOn w:val="1"/>
    <w:qFormat/>
    <w:uiPriority w:val="0"/>
    <w:pPr>
      <w:jc w:val="center"/>
    </w:pPr>
    <w:rPr>
      <w:rFonts w:hint="eastAsia" w:cs="方正仿宋_GB2312"/>
      <w:sz w:val="24"/>
      <w:szCs w:val="22"/>
      <w:lang w:val="zh-CN" w:bidi="zh-CN"/>
    </w:rPr>
  </w:style>
  <w:style w:type="paragraph" w:customStyle="1" w:styleId="265">
    <w:name w:val="Table Text"/>
    <w:basedOn w:val="1"/>
    <w:semiHidden/>
    <w:qFormat/>
    <w:uiPriority w:val="0"/>
    <w:rPr>
      <w:rFonts w:ascii="Times New Roman" w:hAnsi="Times New Roman" w:eastAsia="Times New Roman" w:cs="Times New Roman"/>
      <w:sz w:val="24"/>
      <w:szCs w:val="24"/>
      <w:lang w:eastAsia="en-US"/>
    </w:rPr>
  </w:style>
  <w:style w:type="paragraph" w:customStyle="1" w:styleId="266">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15954</Words>
  <Characters>16553</Characters>
  <Lines>238</Lines>
  <Paragraphs>67</Paragraphs>
  <TotalTime>7</TotalTime>
  <ScaleCrop>false</ScaleCrop>
  <LinksUpToDate>false</LinksUpToDate>
  <CharactersWithSpaces>16810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Administrator</dc:creator>
  <cp:lastModifiedBy>圆圆</cp:lastModifiedBy>
  <cp:lastPrinted>2020-04-02T03:13:00Z</cp:lastPrinted>
  <dcterms:modified xsi:type="dcterms:W3CDTF">2026-07-13T02:31:35Z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625F6916D5B24C218993BD64CC7E5280_13</vt:lpwstr>
  </property>
  <property fmtid="{D5CDD505-2E9C-101B-9397-08002B2CF9AE}" pid="4" name="KSOTemplateDocerSaveRecord">
    <vt:lpwstr>eyJoZGlkIjoiZDI2OTIxZjNiZjQyM2RhZGE1NjdmY2MxYTljZDAzODciLCJ1c2VySWQiOiIyMzc3NDY1ODEifQ==</vt:lpwstr>
  </property>
</Properties>
</file>